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7A3DC" w14:textId="25121C0C" w:rsidR="0019531C" w:rsidRPr="00925F0C" w:rsidRDefault="0019531C" w:rsidP="0019531C">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002634C8" w:rsidRPr="002634C8">
        <w:rPr>
          <w:rFonts w:ascii="Arial" w:hAnsi="Arial" w:cs="Arial"/>
          <w:b/>
          <w:sz w:val="24"/>
          <w:szCs w:val="24"/>
        </w:rPr>
        <w:t>R1-1708630</w:t>
      </w:r>
      <w:bookmarkStart w:id="0" w:name="_GoBack"/>
      <w:bookmarkEnd w:id="0"/>
    </w:p>
    <w:p w14:paraId="0165F822" w14:textId="77777777" w:rsidR="0019531C" w:rsidRPr="00925F0C" w:rsidRDefault="0019531C" w:rsidP="0019531C">
      <w:pPr>
        <w:tabs>
          <w:tab w:val="right" w:pos="9630"/>
        </w:tabs>
        <w:spacing w:after="0"/>
        <w:jc w:val="both"/>
        <w:rPr>
          <w:rFonts w:ascii="Arial" w:hAnsi="Arial" w:cs="Arial"/>
          <w:b/>
          <w:sz w:val="24"/>
          <w:szCs w:val="24"/>
        </w:rPr>
      </w:pPr>
      <w:r>
        <w:rPr>
          <w:rFonts w:ascii="Arial" w:hAnsi="Arial" w:cs="Arial"/>
          <w:b/>
          <w:sz w:val="24"/>
          <w:szCs w:val="24"/>
        </w:rPr>
        <w:t>May 15</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19</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3FECCF39" w14:textId="77777777" w:rsidR="0019531C" w:rsidRPr="00925F0C" w:rsidRDefault="0019531C" w:rsidP="0019531C">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7AD69140" w14:textId="77777777" w:rsidR="0019531C" w:rsidRPr="00925F0C" w:rsidRDefault="0019531C" w:rsidP="0019531C">
      <w:pPr>
        <w:pStyle w:val="Footer"/>
        <w:jc w:val="both"/>
        <w:rPr>
          <w:i w:val="0"/>
          <w:noProof w:val="0"/>
        </w:rPr>
      </w:pPr>
    </w:p>
    <w:p w14:paraId="1DCB30B3" w14:textId="64F1FEA5" w:rsidR="006F7F66" w:rsidRPr="00CE758D" w:rsidRDefault="006F7F66" w:rsidP="006F7F66">
      <w:pPr>
        <w:tabs>
          <w:tab w:val="left" w:pos="1985"/>
        </w:tabs>
        <w:jc w:val="both"/>
        <w:rPr>
          <w:rFonts w:ascii="Arial" w:hAnsi="Arial"/>
          <w:sz w:val="24"/>
          <w:szCs w:val="24"/>
        </w:rPr>
      </w:pPr>
      <w:r w:rsidRPr="00CE758D">
        <w:rPr>
          <w:rFonts w:ascii="Arial" w:hAnsi="Arial"/>
          <w:b/>
          <w:sz w:val="24"/>
          <w:szCs w:val="24"/>
        </w:rPr>
        <w:t>Agenda item:</w:t>
      </w:r>
      <w:r>
        <w:rPr>
          <w:rFonts w:ascii="Arial" w:hAnsi="Arial"/>
          <w:sz w:val="24"/>
          <w:szCs w:val="24"/>
        </w:rPr>
        <w:tab/>
      </w:r>
      <w:r w:rsidR="0019531C" w:rsidRPr="0019531C">
        <w:rPr>
          <w:rFonts w:ascii="Arial" w:hAnsi="Arial"/>
          <w:sz w:val="24"/>
          <w:szCs w:val="24"/>
        </w:rPr>
        <w:t>7.1.3.3.4</w:t>
      </w:r>
    </w:p>
    <w:p w14:paraId="17181108" w14:textId="77777777" w:rsidR="006F7F66" w:rsidRPr="00CE758D" w:rsidRDefault="006F7F66" w:rsidP="006F7F66">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115216C2" w14:textId="77777777" w:rsidR="006F7F66" w:rsidRPr="003570F9" w:rsidRDefault="006F7F66" w:rsidP="006F7F66">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85108A">
        <w:rPr>
          <w:rFonts w:ascii="Arial" w:hAnsi="Arial"/>
          <w:sz w:val="22"/>
        </w:rPr>
        <w:t>Scaled Numerology for URLLC UL Channel Design</w:t>
      </w:r>
    </w:p>
    <w:p w14:paraId="153FC275" w14:textId="77777777" w:rsidR="006F7F66" w:rsidRPr="00CE758D" w:rsidRDefault="006F7F66" w:rsidP="006F7F66">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4A13BBE6" w14:textId="77777777" w:rsidR="006F7F66" w:rsidRDefault="006F7F66" w:rsidP="006F7F66">
      <w:pPr>
        <w:pStyle w:val="Heading1"/>
      </w:pPr>
      <w:r>
        <w:t>Scaled numerology design for control channels overview</w:t>
      </w:r>
    </w:p>
    <w:p w14:paraId="721C45A3" w14:textId="77777777" w:rsidR="006F7F66" w:rsidRPr="00EA33AE" w:rsidRDefault="006F7F66" w:rsidP="006F7F66">
      <w:pPr>
        <w:overflowPunct/>
        <w:autoSpaceDE/>
        <w:autoSpaceDN/>
        <w:adjustRightInd/>
        <w:spacing w:after="0"/>
        <w:jc w:val="both"/>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Pr>
          <w:color w:val="000000"/>
          <w:sz w:val="24"/>
          <w:szCs w:val="27"/>
        </w:rPr>
        <w:t xml:space="preserve">both now and in the future </w:t>
      </w:r>
      <w:r w:rsidRPr="00D761F8">
        <w:rPr>
          <w:color w:val="000000"/>
          <w:sz w:val="24"/>
          <w:szCs w:val="27"/>
        </w:rPr>
        <w:t>across all services required to be supported by the new 5G R</w:t>
      </w:r>
      <w:r>
        <w:rPr>
          <w:color w:val="000000"/>
          <w:sz w:val="24"/>
          <w:szCs w:val="27"/>
        </w:rPr>
        <w:t xml:space="preserve">AT. It is also a key differentiation factor of NR URLLC from LTE URLLC where backward compatibility in terms of numerology needs to be ensured. In </w:t>
      </w:r>
      <w:proofErr w:type="gramStart"/>
      <w:r>
        <w:rPr>
          <w:color w:val="000000"/>
          <w:sz w:val="24"/>
          <w:szCs w:val="27"/>
        </w:rPr>
        <w:t>NR</w:t>
      </w:r>
      <w:proofErr w:type="gramEnd"/>
      <w:r>
        <w:rPr>
          <w:color w:val="000000"/>
          <w:sz w:val="24"/>
          <w:szCs w:val="27"/>
        </w:rPr>
        <w:t xml:space="preserve"> flexible numerology is already considered a key feature to enable different requirements. In this contribution, we consider scaled numerology for </w:t>
      </w:r>
      <w:r w:rsidRPr="00865A9A">
        <w:rPr>
          <w:color w:val="000000"/>
          <w:sz w:val="24"/>
          <w:szCs w:val="27"/>
        </w:rPr>
        <w:t>URLLC UL acknowledgement channel design</w:t>
      </w:r>
      <w:r>
        <w:rPr>
          <w:color w:val="000000"/>
          <w:sz w:val="24"/>
          <w:szCs w:val="27"/>
        </w:rPr>
        <w:t xml:space="preserve"> in order to achieve ultra-reliable and low latency HARQ turn-around.</w:t>
      </w:r>
    </w:p>
    <w:p w14:paraId="41A86B50" w14:textId="77777777" w:rsidR="006F7F66" w:rsidRDefault="006F7F66" w:rsidP="006F7F66">
      <w:pPr>
        <w:pStyle w:val="Heading1"/>
      </w:pPr>
      <w:bookmarkStart w:id="1" w:name="_Ref458718762"/>
      <w:r>
        <w:t xml:space="preserve">Scaled numerology </w:t>
      </w:r>
      <w:bookmarkEnd w:id="1"/>
      <w:r>
        <w:t>control design principle</w:t>
      </w:r>
    </w:p>
    <w:p w14:paraId="7529A185"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Control channel waveform and channelization design is important when transmission/reception processing timeline is tight [</w:t>
      </w:r>
      <w:r w:rsidRPr="00E01CE8">
        <w:rPr>
          <w:sz w:val="24"/>
          <w:szCs w:val="27"/>
        </w:rPr>
        <w:t>2</w:t>
      </w:r>
      <w:r>
        <w:rPr>
          <w:color w:val="000000"/>
          <w:sz w:val="24"/>
          <w:szCs w:val="27"/>
        </w:rPr>
        <w:t xml:space="preserve">] (e.g., to achieve single interlace self-contained HARQ turn-around for NR </w:t>
      </w:r>
      <w:proofErr w:type="spellStart"/>
      <w:r>
        <w:rPr>
          <w:color w:val="000000"/>
          <w:sz w:val="24"/>
          <w:szCs w:val="27"/>
        </w:rPr>
        <w:t>eMBB</w:t>
      </w:r>
      <w:proofErr w:type="spellEnd"/>
      <w:r>
        <w:rPr>
          <w:color w:val="000000"/>
          <w:sz w:val="24"/>
          <w:szCs w:val="27"/>
        </w:rPr>
        <w:t xml:space="preserve"> and/or to achieve URLLC fast HARQ turn-around at sub mini-slot level). Based on the dependency of the processing data/ctrl in the opposite link, </w:t>
      </w:r>
      <w:r w:rsidRPr="00BC5C17">
        <w:rPr>
          <w:color w:val="000000"/>
          <w:sz w:val="24"/>
          <w:szCs w:val="27"/>
        </w:rPr>
        <w:t xml:space="preserve">control signaling </w:t>
      </w:r>
      <w:r>
        <w:rPr>
          <w:color w:val="000000"/>
          <w:sz w:val="24"/>
          <w:szCs w:val="27"/>
        </w:rPr>
        <w:t>is composed of two parts</w:t>
      </w:r>
      <w:r w:rsidRPr="00BC5C17">
        <w:rPr>
          <w:color w:val="000000"/>
          <w:sz w:val="24"/>
          <w:szCs w:val="27"/>
        </w:rPr>
        <w:t>:</w:t>
      </w:r>
    </w:p>
    <w:p w14:paraId="592653C4" w14:textId="77777777" w:rsidR="006F7F66" w:rsidRDefault="006F7F66" w:rsidP="006F7F66">
      <w:pPr>
        <w:pStyle w:val="ListParagraph"/>
        <w:numPr>
          <w:ilvl w:val="0"/>
          <w:numId w:val="40"/>
        </w:numPr>
        <w:jc w:val="both"/>
        <w:rPr>
          <w:rFonts w:ascii="Times New Roman" w:eastAsia="SimSun" w:hAnsi="Times New Roman"/>
          <w:color w:val="000000"/>
          <w:sz w:val="24"/>
          <w:szCs w:val="27"/>
        </w:rPr>
      </w:pPr>
      <w:r w:rsidRPr="00BC5C17">
        <w:rPr>
          <w:rFonts w:ascii="Times New Roman" w:eastAsia="SimSun" w:hAnsi="Times New Roman"/>
          <w:color w:val="000000"/>
          <w:sz w:val="24"/>
          <w:szCs w:val="27"/>
        </w:rPr>
        <w:t>P</w:t>
      </w:r>
      <w:r>
        <w:rPr>
          <w:rFonts w:ascii="Times New Roman" w:eastAsia="SimSun" w:hAnsi="Times New Roman"/>
          <w:color w:val="000000"/>
          <w:sz w:val="24"/>
          <w:szCs w:val="27"/>
        </w:rPr>
        <w:t xml:space="preserve">rocessing-dependent information: for example, ACK/NAK in PUCCH, </w:t>
      </w:r>
      <w:r w:rsidRPr="00BC5C17">
        <w:rPr>
          <w:rFonts w:ascii="Times New Roman" w:eastAsia="SimSun" w:hAnsi="Times New Roman"/>
          <w:color w:val="000000"/>
          <w:sz w:val="24"/>
          <w:szCs w:val="27"/>
        </w:rPr>
        <w:t>NDI</w:t>
      </w:r>
      <w:r>
        <w:rPr>
          <w:rFonts w:ascii="Times New Roman" w:eastAsia="SimSun" w:hAnsi="Times New Roman"/>
          <w:color w:val="000000"/>
          <w:sz w:val="24"/>
          <w:szCs w:val="27"/>
        </w:rPr>
        <w:t xml:space="preserve"> in PDCCH,</w:t>
      </w:r>
    </w:p>
    <w:p w14:paraId="2E686823" w14:textId="77777777" w:rsidR="006F7F66" w:rsidRPr="00E33A40" w:rsidRDefault="006F7F66" w:rsidP="006F7F66">
      <w:pPr>
        <w:pStyle w:val="ListParagraph"/>
        <w:numPr>
          <w:ilvl w:val="0"/>
          <w:numId w:val="40"/>
        </w:numPr>
        <w:jc w:val="both"/>
        <w:rPr>
          <w:rFonts w:ascii="Times New Roman" w:eastAsia="SimSun" w:hAnsi="Times New Roman"/>
          <w:color w:val="000000"/>
          <w:sz w:val="24"/>
          <w:szCs w:val="27"/>
        </w:rPr>
      </w:pPr>
      <w:r>
        <w:rPr>
          <w:rFonts w:ascii="Times New Roman" w:eastAsia="SimSun" w:hAnsi="Times New Roman"/>
          <w:color w:val="000000"/>
          <w:sz w:val="24"/>
          <w:szCs w:val="27"/>
        </w:rPr>
        <w:t>N</w:t>
      </w:r>
      <w:r w:rsidRPr="005420C3">
        <w:rPr>
          <w:rFonts w:ascii="Times New Roman" w:eastAsia="SimSun" w:hAnsi="Times New Roman"/>
          <w:color w:val="000000"/>
          <w:sz w:val="24"/>
          <w:szCs w:val="27"/>
        </w:rPr>
        <w:t>on-processing dependent information:</w:t>
      </w:r>
      <w:r>
        <w:rPr>
          <w:rFonts w:ascii="Times New Roman" w:eastAsia="SimSun" w:hAnsi="Times New Roman"/>
          <w:color w:val="000000"/>
          <w:sz w:val="24"/>
          <w:szCs w:val="27"/>
        </w:rPr>
        <w:t xml:space="preserve"> for example,</w:t>
      </w:r>
      <w:r w:rsidRPr="005420C3">
        <w:rPr>
          <w:rFonts w:ascii="Times New Roman" w:eastAsia="SimSun" w:hAnsi="Times New Roman"/>
          <w:color w:val="000000"/>
          <w:sz w:val="24"/>
          <w:szCs w:val="27"/>
        </w:rPr>
        <w:t xml:space="preserve"> </w:t>
      </w:r>
      <w:r>
        <w:rPr>
          <w:rFonts w:ascii="Times New Roman" w:eastAsia="SimSun" w:hAnsi="Times New Roman"/>
          <w:color w:val="000000"/>
          <w:sz w:val="24"/>
          <w:szCs w:val="27"/>
        </w:rPr>
        <w:t xml:space="preserve">RS for control channel </w:t>
      </w:r>
      <w:proofErr w:type="spellStart"/>
      <w:r>
        <w:rPr>
          <w:rFonts w:ascii="Times New Roman" w:eastAsia="SimSun" w:hAnsi="Times New Roman"/>
          <w:color w:val="000000"/>
          <w:sz w:val="24"/>
          <w:szCs w:val="27"/>
        </w:rPr>
        <w:t>demod</w:t>
      </w:r>
      <w:proofErr w:type="spellEnd"/>
      <w:r>
        <w:rPr>
          <w:rFonts w:ascii="Times New Roman" w:eastAsia="SimSun" w:hAnsi="Times New Roman"/>
          <w:color w:val="000000"/>
          <w:sz w:val="24"/>
          <w:szCs w:val="27"/>
        </w:rPr>
        <w:t>.</w:t>
      </w:r>
    </w:p>
    <w:p w14:paraId="766FC9B3" w14:textId="77777777" w:rsidR="006F7F66" w:rsidRDefault="006F7F66" w:rsidP="006F7F66">
      <w:pPr>
        <w:jc w:val="both"/>
        <w:rPr>
          <w:color w:val="000000"/>
          <w:sz w:val="24"/>
          <w:szCs w:val="27"/>
        </w:rPr>
      </w:pPr>
      <w:r>
        <w:rPr>
          <w:color w:val="000000"/>
          <w:sz w:val="24"/>
          <w:szCs w:val="27"/>
        </w:rPr>
        <w:t>It is critical to pipeline both transmission and receiver processing as efficiently as possible. Therefore, non-processing-dependent information and processing-dependent information should be transmitted sequentially in time such that more processing time could be allowed for data processing [</w:t>
      </w:r>
      <w:r w:rsidRPr="00E01CE8">
        <w:rPr>
          <w:sz w:val="24"/>
          <w:szCs w:val="27"/>
        </w:rPr>
        <w:t>2</w:t>
      </w:r>
      <w:r>
        <w:rPr>
          <w:color w:val="000000"/>
          <w:sz w:val="24"/>
          <w:szCs w:val="27"/>
        </w:rPr>
        <w:t xml:space="preserve">]. Unfortunately, with CP-OFDM (including DFT spread SC-FDM) based waveform, this becomes challenging for 1-symbol based control channel design. Due to the multicarrier nature, the OFDM waveform synthesis could start only after all the modulated subcarriers become available (similarly, all the data subcarriers can only be processed after the entire OFDM symbol gets received). Scaled numerology OFDM could be useful in these scenarios to create multiple short duration scaled OFDM symbols. Scaled numerology multi-symbol control significantly streamlines UE and </w:t>
      </w:r>
      <w:proofErr w:type="spellStart"/>
      <w:r>
        <w:rPr>
          <w:color w:val="000000"/>
          <w:sz w:val="24"/>
          <w:szCs w:val="27"/>
        </w:rPr>
        <w:t>gNB</w:t>
      </w:r>
      <w:proofErr w:type="spellEnd"/>
      <w:r>
        <w:rPr>
          <w:color w:val="000000"/>
          <w:sz w:val="24"/>
          <w:szCs w:val="27"/>
        </w:rPr>
        <w:t xml:space="preserve"> processing for HARQ turn-around by sending non-processing-dependent information and processing-dependent information sequentially in multiple scaled OFDM symbols over time. This would allow to create more time for processing and therefore enable more efficient UE and </w:t>
      </w:r>
      <w:proofErr w:type="spellStart"/>
      <w:r>
        <w:rPr>
          <w:color w:val="000000"/>
          <w:sz w:val="24"/>
          <w:szCs w:val="27"/>
        </w:rPr>
        <w:t>gNB</w:t>
      </w:r>
      <w:proofErr w:type="spellEnd"/>
      <w:r>
        <w:rPr>
          <w:color w:val="000000"/>
          <w:sz w:val="24"/>
          <w:szCs w:val="27"/>
        </w:rPr>
        <w:t xml:space="preserve"> turn-around, and pave the way to URLLC services for 5G NR.</w:t>
      </w:r>
    </w:p>
    <w:p w14:paraId="3999C0B4" w14:textId="77777777" w:rsidR="006F7F66" w:rsidRPr="00855FF4" w:rsidRDefault="006F7F66" w:rsidP="006F7F66">
      <w:pPr>
        <w:pStyle w:val="Heading1"/>
      </w:pPr>
      <w:r>
        <w:lastRenderedPageBreak/>
        <w:t>Scaled numerology control channel design for fast URLLC HARQ turn-around</w:t>
      </w:r>
    </w:p>
    <w:p w14:paraId="5A8289CA" w14:textId="77777777" w:rsidR="006F7F66" w:rsidRPr="00E215DB" w:rsidRDefault="006F7F66" w:rsidP="006F7F66">
      <w:pPr>
        <w:pStyle w:val="Heading2"/>
      </w:pPr>
      <w:bookmarkStart w:id="2" w:name="_Ref458718780"/>
      <w:bookmarkStart w:id="3" w:name="_Ref458635823"/>
      <w:r>
        <w:t>Scaled numerology uplink control channel design</w:t>
      </w:r>
      <w:bookmarkEnd w:id="2"/>
      <w:r>
        <w:t xml:space="preserve"> </w:t>
      </w:r>
      <w:bookmarkEnd w:id="3"/>
    </w:p>
    <w:p w14:paraId="5CECE066" w14:textId="77777777" w:rsidR="006F7F66" w:rsidRDefault="006F7F66" w:rsidP="006F7F66">
      <w:pPr>
        <w:jc w:val="both"/>
        <w:rPr>
          <w:sz w:val="24"/>
          <w:lang w:val="en-GB"/>
        </w:rPr>
      </w:pPr>
      <w:r>
        <w:rPr>
          <w:sz w:val="24"/>
          <w:lang w:val="en-GB"/>
        </w:rPr>
        <w:t>As it is discussed in [2], budgeting o</w:t>
      </w:r>
      <w:r w:rsidRPr="00017A6C">
        <w:rPr>
          <w:sz w:val="24"/>
          <w:lang w:val="en-GB"/>
        </w:rPr>
        <w:t>ne</w:t>
      </w:r>
      <w:r>
        <w:rPr>
          <w:sz w:val="24"/>
          <w:lang w:val="en-GB"/>
        </w:rPr>
        <w:t xml:space="preserve"> </w:t>
      </w:r>
      <w:r w:rsidRPr="00017A6C">
        <w:rPr>
          <w:sz w:val="24"/>
          <w:lang w:val="en-GB"/>
        </w:rPr>
        <w:t>symbol</w:t>
      </w:r>
      <w:r>
        <w:rPr>
          <w:sz w:val="24"/>
          <w:lang w:val="en-GB"/>
        </w:rPr>
        <w:t xml:space="preserve"> duration of gap between the last downlink data-bearing symbol and the time the UE needs to transmit the </w:t>
      </w:r>
      <w:r>
        <w:rPr>
          <w:color w:val="000000"/>
          <w:sz w:val="24"/>
          <w:szCs w:val="27"/>
        </w:rPr>
        <w:t>processing-dependent</w:t>
      </w:r>
      <w:r>
        <w:rPr>
          <w:sz w:val="24"/>
          <w:lang w:val="en-GB"/>
        </w:rPr>
        <w:t xml:space="preserve"> information could be a starting point that provides enough time for the required processing to be completed, but at the same time keeps as minimum as possible the unused resources, which applies to both </w:t>
      </w:r>
      <w:proofErr w:type="spellStart"/>
      <w:r>
        <w:rPr>
          <w:sz w:val="24"/>
          <w:lang w:val="en-GB"/>
        </w:rPr>
        <w:t>eMBB</w:t>
      </w:r>
      <w:proofErr w:type="spellEnd"/>
      <w:r>
        <w:rPr>
          <w:sz w:val="24"/>
          <w:lang w:val="en-GB"/>
        </w:rPr>
        <w:t xml:space="preserve"> and URLLC. The following figures illustrate the difference of HARQ turn-around timeline for the case with full symbol ack vs. 2-symbol of half duration ack. It can be seen that using scaled numerology 2 symbols allow UE to process with around 1-data-symbol worth of time and turn-around HARQ with 1 mini-slot. Assuming SCS = 30kHz, HARQ RTT reduces from 214us to 143us. For URLLC to achieve end-to-end 1ms latency across multiple layers, this latency reduction is crucial.</w:t>
      </w:r>
    </w:p>
    <w:p w14:paraId="066996FA" w14:textId="77777777" w:rsidR="006F7F66" w:rsidRDefault="006F7F66" w:rsidP="006F7F66">
      <w:pPr>
        <w:jc w:val="center"/>
        <w:rPr>
          <w:b/>
          <w:sz w:val="24"/>
          <w:szCs w:val="24"/>
          <w:u w:val="single"/>
          <w:lang w:eastAsia="ko-KR"/>
        </w:rPr>
      </w:pPr>
      <w:r w:rsidRPr="00627DF8">
        <w:rPr>
          <w:noProof/>
          <w:lang w:eastAsia="zh-CN"/>
        </w:rPr>
        <w:drawing>
          <wp:inline distT="0" distB="0" distL="0" distR="0" wp14:anchorId="6334A224" wp14:editId="753D2AE6">
            <wp:extent cx="3947999" cy="6189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7757" cy="626741"/>
                    </a:xfrm>
                    <a:prstGeom prst="rect">
                      <a:avLst/>
                    </a:prstGeom>
                  </pic:spPr>
                </pic:pic>
              </a:graphicData>
            </a:graphic>
          </wp:inline>
        </w:drawing>
      </w:r>
    </w:p>
    <w:p w14:paraId="1BD1BA35" w14:textId="77777777" w:rsidR="006F7F66" w:rsidRDefault="006F7F66" w:rsidP="006F7F66">
      <w:pPr>
        <w:jc w:val="center"/>
        <w:rPr>
          <w:b/>
          <w:sz w:val="24"/>
          <w:szCs w:val="24"/>
          <w:u w:val="single"/>
          <w:lang w:eastAsia="ko-KR"/>
        </w:rPr>
      </w:pPr>
      <w:r>
        <w:rPr>
          <w:b/>
          <w:sz w:val="22"/>
        </w:rPr>
        <w:t>Figure 1</w:t>
      </w:r>
      <w:r w:rsidRPr="00710539">
        <w:rPr>
          <w:b/>
          <w:sz w:val="22"/>
        </w:rPr>
        <w:t xml:space="preserve"> </w:t>
      </w:r>
      <w:r>
        <w:rPr>
          <w:b/>
          <w:sz w:val="22"/>
        </w:rPr>
        <w:t>URLLC HARQ RTT with same numerology 1-symbol ack channel with RTT = 6 symbols</w:t>
      </w:r>
    </w:p>
    <w:p w14:paraId="57E13E5F" w14:textId="77777777" w:rsidR="006F7F66" w:rsidRDefault="006F7F66" w:rsidP="006F7F66">
      <w:pPr>
        <w:jc w:val="center"/>
        <w:rPr>
          <w:b/>
          <w:sz w:val="24"/>
          <w:szCs w:val="24"/>
          <w:u w:val="single"/>
          <w:lang w:eastAsia="ko-KR"/>
        </w:rPr>
      </w:pPr>
      <w:r w:rsidRPr="00962EF1">
        <w:rPr>
          <w:noProof/>
          <w:lang w:eastAsia="zh-CN"/>
        </w:rPr>
        <w:drawing>
          <wp:inline distT="0" distB="0" distL="0" distR="0" wp14:anchorId="46A3A201" wp14:editId="0E8AE24C">
            <wp:extent cx="3069717" cy="512859"/>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1038" cy="519763"/>
                    </a:xfrm>
                    <a:prstGeom prst="rect">
                      <a:avLst/>
                    </a:prstGeom>
                  </pic:spPr>
                </pic:pic>
              </a:graphicData>
            </a:graphic>
          </wp:inline>
        </w:drawing>
      </w:r>
    </w:p>
    <w:p w14:paraId="7722A869" w14:textId="77777777" w:rsidR="006F7F66" w:rsidRDefault="006F7F66" w:rsidP="006F7F66">
      <w:pPr>
        <w:jc w:val="center"/>
        <w:rPr>
          <w:b/>
          <w:sz w:val="22"/>
        </w:rPr>
      </w:pPr>
      <w:r>
        <w:rPr>
          <w:b/>
          <w:sz w:val="22"/>
        </w:rPr>
        <w:t>Figure 2</w:t>
      </w:r>
      <w:r w:rsidRPr="00710539">
        <w:rPr>
          <w:b/>
          <w:sz w:val="22"/>
        </w:rPr>
        <w:t xml:space="preserve"> </w:t>
      </w:r>
      <w:r>
        <w:rPr>
          <w:b/>
          <w:sz w:val="22"/>
        </w:rPr>
        <w:t>URLLC HARQ RTT with scaled numerology 2-symbol ack channel with RTT = 4 symbols</w:t>
      </w:r>
    </w:p>
    <w:p w14:paraId="07A3C58D" w14:textId="77777777" w:rsidR="006F7F66" w:rsidRDefault="006F7F66" w:rsidP="006F7F66">
      <w:pPr>
        <w:jc w:val="both"/>
        <w:rPr>
          <w:sz w:val="24"/>
          <w:lang w:val="en-GB"/>
        </w:rPr>
      </w:pPr>
      <w:r>
        <w:rPr>
          <w:sz w:val="24"/>
          <w:lang w:val="en-GB"/>
        </w:rPr>
        <w:t>Specifically, we now compare two options for the numerology used in the URLLC uplink ack channel.</w:t>
      </w:r>
    </w:p>
    <w:p w14:paraId="30DE5A03" w14:textId="77777777" w:rsidR="006F7F66" w:rsidRDefault="006F7F66" w:rsidP="006F7F66">
      <w:pPr>
        <w:pStyle w:val="ListParagraph"/>
        <w:numPr>
          <w:ilvl w:val="0"/>
          <w:numId w:val="30"/>
        </w:numPr>
        <w:jc w:val="both"/>
        <w:rPr>
          <w:rFonts w:ascii="Times New Roman" w:eastAsia="SimSun" w:hAnsi="Times New Roman"/>
          <w:sz w:val="24"/>
          <w:szCs w:val="20"/>
          <w:lang w:val="en-GB"/>
        </w:rPr>
      </w:pPr>
      <w:r>
        <w:rPr>
          <w:rFonts w:ascii="Times New Roman" w:eastAsia="SimSun" w:hAnsi="Times New Roman"/>
          <w:sz w:val="24"/>
          <w:szCs w:val="20"/>
          <w:lang w:val="en-GB"/>
        </w:rPr>
        <w:t>Use o</w:t>
      </w:r>
      <w:r w:rsidRPr="00FD6FBA">
        <w:rPr>
          <w:rFonts w:ascii="Times New Roman" w:eastAsia="SimSun" w:hAnsi="Times New Roman"/>
          <w:sz w:val="24"/>
          <w:szCs w:val="20"/>
          <w:lang w:val="en-GB"/>
        </w:rPr>
        <w:t xml:space="preserve">ne </w:t>
      </w:r>
      <w:r>
        <w:rPr>
          <w:rFonts w:ascii="Times New Roman" w:eastAsia="SimSun" w:hAnsi="Times New Roman"/>
          <w:sz w:val="24"/>
          <w:szCs w:val="20"/>
          <w:lang w:val="en-GB"/>
        </w:rPr>
        <w:t xml:space="preserve">uplink control symbol for URLLC. </w:t>
      </w:r>
    </w:p>
    <w:p w14:paraId="5D2FE9DF" w14:textId="77777777" w:rsidR="006F7F66" w:rsidRDefault="006F7F66" w:rsidP="006F7F66">
      <w:pPr>
        <w:pStyle w:val="ListParagraph"/>
        <w:numPr>
          <w:ilvl w:val="0"/>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Supporting with an efficient UE-turn around would potentially require either a longer-than-necessary HARQ RTT.</w:t>
      </w:r>
    </w:p>
    <w:p w14:paraId="122C067A" w14:textId="77777777" w:rsidR="006F7F66" w:rsidRPr="005C75E0" w:rsidRDefault="006F7F66" w:rsidP="006F7F66">
      <w:pPr>
        <w:pStyle w:val="ListParagraph"/>
        <w:numPr>
          <w:ilvl w:val="0"/>
          <w:numId w:val="30"/>
        </w:numPr>
        <w:jc w:val="both"/>
        <w:rPr>
          <w:rFonts w:ascii="Times New Roman" w:eastAsia="SimSun" w:hAnsi="Times New Roman"/>
          <w:sz w:val="24"/>
          <w:szCs w:val="20"/>
          <w:lang w:val="en-GB"/>
        </w:rPr>
      </w:pPr>
      <w:r w:rsidRPr="00B71B1A">
        <w:rPr>
          <w:rFonts w:ascii="Times New Roman" w:eastAsia="SimSun" w:hAnsi="Times New Roman"/>
          <w:sz w:val="24"/>
          <w:szCs w:val="20"/>
          <w:lang w:val="en-GB"/>
        </w:rPr>
        <w:t xml:space="preserve">Use two </w:t>
      </w:r>
      <w:r>
        <w:rPr>
          <w:rFonts w:ascii="Times New Roman" w:eastAsia="SimSun" w:hAnsi="Times New Roman"/>
          <w:sz w:val="24"/>
          <w:szCs w:val="20"/>
          <w:lang w:val="en-GB"/>
        </w:rPr>
        <w:t>scaled numerology</w:t>
      </w:r>
      <w:r w:rsidRPr="00B71B1A">
        <w:rPr>
          <w:rFonts w:ascii="Times New Roman" w:eastAsia="SimSun" w:hAnsi="Times New Roman"/>
          <w:sz w:val="24"/>
          <w:szCs w:val="20"/>
          <w:lang w:val="en-GB"/>
        </w:rPr>
        <w:t xml:space="preserve"> symbol</w:t>
      </w:r>
      <w:r>
        <w:rPr>
          <w:rFonts w:ascii="Times New Roman" w:eastAsia="SimSun" w:hAnsi="Times New Roman"/>
          <w:sz w:val="24"/>
          <w:szCs w:val="20"/>
          <w:lang w:val="en-GB"/>
        </w:rPr>
        <w:t>s</w:t>
      </w:r>
      <w:r w:rsidRPr="00B71B1A">
        <w:rPr>
          <w:rFonts w:ascii="Times New Roman" w:eastAsia="SimSun" w:hAnsi="Times New Roman"/>
          <w:sz w:val="24"/>
          <w:szCs w:val="20"/>
          <w:lang w:val="en-GB"/>
        </w:rPr>
        <w:t xml:space="preserve"> with a double SCS</w:t>
      </w:r>
      <w:r>
        <w:rPr>
          <w:rFonts w:ascii="Times New Roman" w:eastAsia="SimSun" w:hAnsi="Times New Roman"/>
          <w:sz w:val="24"/>
          <w:szCs w:val="20"/>
          <w:lang w:val="en-GB"/>
        </w:rPr>
        <w:t xml:space="preserve">. In such a design, even though a variety of different channelization options can be studied, a starting point would be to use the first scaled numerology symbol for transmitting the non-processing dependent information, and the second scaled numerology symbol for transmitting the processing-dependent information as shown in Figures 1 and 2. </w:t>
      </w:r>
      <w:r w:rsidRPr="005C75E0">
        <w:rPr>
          <w:rFonts w:ascii="Times New Roman" w:eastAsia="SimSun" w:hAnsi="Times New Roman"/>
          <w:sz w:val="24"/>
          <w:szCs w:val="20"/>
          <w:lang w:val="en-GB"/>
        </w:rPr>
        <w:t>Using scaled numerology for the uplink control channel has the following advantages:</w:t>
      </w:r>
    </w:p>
    <w:p w14:paraId="3E013077" w14:textId="77777777" w:rsidR="006F7F66" w:rsidRPr="00D46D6E" w:rsidRDefault="006F7F66" w:rsidP="006F7F66">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sz w:val="24"/>
          <w:szCs w:val="20"/>
          <w:lang w:val="en-GB"/>
        </w:rPr>
        <w:t>The UE has more time to finish the downlink processing.</w:t>
      </w:r>
    </w:p>
    <w:p w14:paraId="4EAD1D45" w14:textId="77777777" w:rsidR="006F7F66" w:rsidRPr="00D46D6E" w:rsidRDefault="006F7F66" w:rsidP="006F7F66">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color w:val="000000"/>
          <w:sz w:val="24"/>
          <w:szCs w:val="27"/>
        </w:rPr>
        <w:t xml:space="preserve">The </w:t>
      </w:r>
      <w:proofErr w:type="spellStart"/>
      <w:r>
        <w:rPr>
          <w:rFonts w:ascii="Times New Roman" w:eastAsia="SimSun" w:hAnsi="Times New Roman"/>
          <w:color w:val="000000"/>
          <w:sz w:val="24"/>
          <w:szCs w:val="27"/>
        </w:rPr>
        <w:t>g</w:t>
      </w:r>
      <w:r w:rsidRPr="00D46D6E">
        <w:rPr>
          <w:rFonts w:ascii="Times New Roman" w:eastAsia="SimSun" w:hAnsi="Times New Roman"/>
          <w:color w:val="000000"/>
          <w:sz w:val="24"/>
          <w:szCs w:val="27"/>
        </w:rPr>
        <w:t>NB</w:t>
      </w:r>
      <w:proofErr w:type="spellEnd"/>
      <w:r w:rsidRPr="00D46D6E">
        <w:rPr>
          <w:rFonts w:ascii="Times New Roman" w:eastAsia="SimSun" w:hAnsi="Times New Roman"/>
          <w:color w:val="000000"/>
          <w:sz w:val="24"/>
          <w:szCs w:val="27"/>
        </w:rPr>
        <w:t xml:space="preserve"> processing timeline could</w:t>
      </w:r>
      <w:r>
        <w:rPr>
          <w:rFonts w:ascii="Times New Roman" w:eastAsia="SimSun" w:hAnsi="Times New Roman"/>
          <w:color w:val="000000"/>
          <w:sz w:val="24"/>
          <w:szCs w:val="27"/>
        </w:rPr>
        <w:t xml:space="preserve"> </w:t>
      </w:r>
      <w:r w:rsidRPr="00D46D6E">
        <w:rPr>
          <w:rFonts w:ascii="Times New Roman" w:eastAsia="SimSun" w:hAnsi="Times New Roman"/>
          <w:color w:val="000000"/>
          <w:sz w:val="24"/>
          <w:szCs w:val="27"/>
        </w:rPr>
        <w:t xml:space="preserve">get improved as well </w:t>
      </w:r>
      <w:r>
        <w:rPr>
          <w:rFonts w:ascii="Times New Roman" w:eastAsia="SimSun" w:hAnsi="Times New Roman"/>
          <w:color w:val="000000"/>
          <w:sz w:val="24"/>
          <w:szCs w:val="27"/>
        </w:rPr>
        <w:t>because the pilots can be processed</w:t>
      </w:r>
      <w:r w:rsidRPr="00D46D6E">
        <w:rPr>
          <w:rFonts w:ascii="Times New Roman" w:eastAsia="SimSun" w:hAnsi="Times New Roman"/>
          <w:color w:val="000000"/>
          <w:sz w:val="24"/>
          <w:szCs w:val="27"/>
        </w:rPr>
        <w:t xml:space="preserve"> in parallel to the reception of the second scaled</w:t>
      </w:r>
      <w:r>
        <w:rPr>
          <w:rFonts w:ascii="Times New Roman" w:eastAsia="SimSun" w:hAnsi="Times New Roman"/>
          <w:color w:val="000000"/>
          <w:sz w:val="24"/>
          <w:szCs w:val="27"/>
        </w:rPr>
        <w:t xml:space="preserve"> numerology symbol</w:t>
      </w:r>
      <w:r w:rsidRPr="00D46D6E">
        <w:rPr>
          <w:rFonts w:ascii="Times New Roman" w:eastAsia="SimSun" w:hAnsi="Times New Roman"/>
          <w:color w:val="000000"/>
          <w:sz w:val="24"/>
          <w:szCs w:val="27"/>
        </w:rPr>
        <w:t>.</w:t>
      </w:r>
    </w:p>
    <w:p w14:paraId="6248CA50" w14:textId="77777777" w:rsidR="006F7F66" w:rsidRPr="00222CAC" w:rsidRDefault="006F7F66" w:rsidP="006F7F66">
      <w:pPr>
        <w:pStyle w:val="ListParagraph"/>
        <w:numPr>
          <w:ilvl w:val="0"/>
          <w:numId w:val="32"/>
        </w:numPr>
        <w:jc w:val="both"/>
        <w:rPr>
          <w:b/>
          <w:u w:val="single"/>
          <w:lang w:eastAsia="ko-KR"/>
        </w:rPr>
      </w:pPr>
      <w:r>
        <w:rPr>
          <w:rFonts w:ascii="Times New Roman" w:eastAsia="SimSun" w:hAnsi="Times New Roman"/>
          <w:sz w:val="24"/>
          <w:szCs w:val="20"/>
          <w:lang w:val="en-GB"/>
        </w:rPr>
        <w:t xml:space="preserve">Similar </w:t>
      </w:r>
      <w:r w:rsidRPr="00F97933">
        <w:rPr>
          <w:rFonts w:ascii="Times New Roman" w:eastAsia="SimSun" w:hAnsi="Times New Roman"/>
          <w:sz w:val="24"/>
          <w:szCs w:val="20"/>
          <w:lang w:val="en-GB"/>
        </w:rPr>
        <w:t xml:space="preserve">performance </w:t>
      </w:r>
      <w:r>
        <w:rPr>
          <w:rFonts w:ascii="Times New Roman" w:eastAsia="SimSun" w:hAnsi="Times New Roman"/>
          <w:sz w:val="24"/>
          <w:szCs w:val="20"/>
          <w:lang w:val="en-GB"/>
        </w:rPr>
        <w:t>to the one symbol scheme is expected. D</w:t>
      </w:r>
      <w:r w:rsidRPr="00F97933">
        <w:rPr>
          <w:rFonts w:ascii="Times New Roman" w:eastAsia="SimSun" w:hAnsi="Times New Roman"/>
          <w:sz w:val="24"/>
          <w:szCs w:val="20"/>
          <w:lang w:val="en-GB"/>
        </w:rPr>
        <w:t xml:space="preserve">ue to the </w:t>
      </w:r>
      <w:r>
        <w:rPr>
          <w:rFonts w:ascii="Times New Roman" w:eastAsia="SimSun" w:hAnsi="Times New Roman"/>
          <w:sz w:val="24"/>
          <w:szCs w:val="20"/>
          <w:lang w:val="en-GB"/>
        </w:rPr>
        <w:t xml:space="preserve">small payload of UL PUCCH and the typically </w:t>
      </w:r>
      <w:r w:rsidRPr="00F97933">
        <w:rPr>
          <w:rFonts w:ascii="Times New Roman" w:eastAsia="SimSun" w:hAnsi="Times New Roman"/>
          <w:sz w:val="24"/>
          <w:szCs w:val="20"/>
          <w:lang w:val="en-GB"/>
        </w:rPr>
        <w:t>low SINR operating point, e.g., of the order of -20 dB</w:t>
      </w:r>
      <w:r>
        <w:rPr>
          <w:rFonts w:ascii="Times New Roman" w:eastAsia="SimSun" w:hAnsi="Times New Roman"/>
          <w:sz w:val="24"/>
          <w:szCs w:val="20"/>
          <w:lang w:val="en-GB"/>
        </w:rPr>
        <w:t xml:space="preserve">, </w:t>
      </w:r>
      <w:r w:rsidRPr="00F97933">
        <w:rPr>
          <w:rFonts w:ascii="Times New Roman" w:eastAsia="SimSun" w:hAnsi="Times New Roman"/>
          <w:sz w:val="24"/>
          <w:szCs w:val="20"/>
          <w:lang w:val="en-GB"/>
        </w:rPr>
        <w:t xml:space="preserve">the </w:t>
      </w:r>
      <w:r>
        <w:rPr>
          <w:rFonts w:ascii="Times New Roman" w:eastAsia="SimSun" w:hAnsi="Times New Roman"/>
          <w:sz w:val="24"/>
          <w:szCs w:val="20"/>
          <w:lang w:val="en-GB"/>
        </w:rPr>
        <w:t>shorter</w:t>
      </w:r>
      <w:r w:rsidRPr="00F97933">
        <w:rPr>
          <w:rFonts w:ascii="Times New Roman" w:eastAsia="SimSun" w:hAnsi="Times New Roman"/>
          <w:sz w:val="24"/>
          <w:szCs w:val="20"/>
          <w:lang w:val="en-GB"/>
        </w:rPr>
        <w:t xml:space="preserve"> CP of the </w:t>
      </w:r>
      <w:r>
        <w:rPr>
          <w:rFonts w:ascii="Times New Roman" w:eastAsia="SimSun" w:hAnsi="Times New Roman"/>
          <w:sz w:val="24"/>
          <w:szCs w:val="20"/>
          <w:lang w:val="en-GB"/>
        </w:rPr>
        <w:t>scaled numerology</w:t>
      </w:r>
      <w:r w:rsidRPr="00F97933">
        <w:rPr>
          <w:rFonts w:ascii="Times New Roman" w:eastAsia="SimSun" w:hAnsi="Times New Roman"/>
          <w:sz w:val="24"/>
          <w:szCs w:val="20"/>
          <w:lang w:val="en-GB"/>
        </w:rPr>
        <w:t xml:space="preserve"> symbols </w:t>
      </w:r>
      <w:r>
        <w:rPr>
          <w:rFonts w:ascii="Times New Roman" w:eastAsia="SimSun" w:hAnsi="Times New Roman"/>
          <w:sz w:val="24"/>
          <w:szCs w:val="20"/>
          <w:lang w:val="en-GB"/>
        </w:rPr>
        <w:t xml:space="preserve">is not expected to lead to a SINR floor </w:t>
      </w:r>
      <w:r w:rsidRPr="00F97933">
        <w:rPr>
          <w:rFonts w:ascii="Times New Roman" w:eastAsia="SimSun" w:hAnsi="Times New Roman"/>
          <w:sz w:val="24"/>
          <w:szCs w:val="20"/>
          <w:lang w:val="en-GB"/>
        </w:rPr>
        <w:t xml:space="preserve">even in </w:t>
      </w:r>
      <w:r>
        <w:rPr>
          <w:rFonts w:ascii="Times New Roman" w:eastAsia="SimSun" w:hAnsi="Times New Roman"/>
          <w:sz w:val="24"/>
          <w:szCs w:val="20"/>
          <w:lang w:val="en-GB"/>
        </w:rPr>
        <w:t xml:space="preserve">channels with large delay spreads. </w:t>
      </w:r>
    </w:p>
    <w:p w14:paraId="1D864EA2" w14:textId="77777777" w:rsidR="006F7F66" w:rsidRPr="00384555" w:rsidRDefault="006F7F66" w:rsidP="006F7F66">
      <w:pPr>
        <w:pStyle w:val="ListParagraph"/>
        <w:numPr>
          <w:ilvl w:val="1"/>
          <w:numId w:val="32"/>
        </w:numPr>
        <w:jc w:val="both"/>
        <w:rPr>
          <w:b/>
          <w:u w:val="single"/>
          <w:lang w:eastAsia="ko-KR"/>
        </w:rPr>
      </w:pPr>
      <w:r>
        <w:rPr>
          <w:rFonts w:ascii="Times New Roman" w:eastAsia="SimSun" w:hAnsi="Times New Roman"/>
          <w:sz w:val="24"/>
          <w:szCs w:val="20"/>
          <w:lang w:val="en-GB"/>
        </w:rPr>
        <w:t>Evaluation and analysis for an example of an uplink control channel carrying one-bit ACK/NAK is shown in Simulation Section.</w:t>
      </w:r>
    </w:p>
    <w:p w14:paraId="44836216" w14:textId="77777777" w:rsidR="006F7F66" w:rsidRDefault="006F7F66" w:rsidP="006F7F66">
      <w:pPr>
        <w:pStyle w:val="ListParagraph"/>
        <w:numPr>
          <w:ilvl w:val="0"/>
          <w:numId w:val="32"/>
        </w:numPr>
        <w:jc w:val="both"/>
        <w:rPr>
          <w:rFonts w:ascii="Times New Roman" w:eastAsia="SimSun" w:hAnsi="Times New Roman"/>
          <w:sz w:val="24"/>
          <w:szCs w:val="20"/>
          <w:lang w:val="en-GB"/>
        </w:rPr>
      </w:pPr>
      <w:r>
        <w:rPr>
          <w:rFonts w:ascii="Times New Roman" w:eastAsia="SimSun" w:hAnsi="Times New Roman"/>
          <w:sz w:val="24"/>
          <w:szCs w:val="20"/>
          <w:lang w:val="en-GB"/>
        </w:rPr>
        <w:t>B</w:t>
      </w:r>
      <w:r w:rsidRPr="00B71B1A">
        <w:rPr>
          <w:rFonts w:ascii="Times New Roman" w:eastAsia="SimSun" w:hAnsi="Times New Roman"/>
          <w:sz w:val="24"/>
          <w:szCs w:val="20"/>
          <w:lang w:val="en-GB"/>
        </w:rPr>
        <w:t xml:space="preserve">oth OFDM and SC-FDM waveforms can be supported without </w:t>
      </w:r>
      <w:r>
        <w:rPr>
          <w:rFonts w:ascii="Times New Roman" w:eastAsia="SimSun" w:hAnsi="Times New Roman"/>
          <w:sz w:val="24"/>
          <w:szCs w:val="20"/>
          <w:lang w:val="en-GB"/>
        </w:rPr>
        <w:t>additional</w:t>
      </w:r>
      <w:r w:rsidRPr="00B71B1A">
        <w:rPr>
          <w:rFonts w:ascii="Times New Roman" w:eastAsia="SimSun" w:hAnsi="Times New Roman"/>
          <w:sz w:val="24"/>
          <w:szCs w:val="20"/>
          <w:lang w:val="en-GB"/>
        </w:rPr>
        <w:t xml:space="preserve"> complexity.</w:t>
      </w:r>
      <w:r>
        <w:rPr>
          <w:rFonts w:ascii="Times New Roman" w:eastAsia="SimSun" w:hAnsi="Times New Roman"/>
          <w:sz w:val="24"/>
          <w:szCs w:val="20"/>
          <w:lang w:val="en-GB"/>
        </w:rPr>
        <w:t xml:space="preserve"> </w:t>
      </w:r>
    </w:p>
    <w:p w14:paraId="7F56B989" w14:textId="77777777" w:rsidR="006F7F66" w:rsidRPr="00AF63A2" w:rsidRDefault="006F7F66" w:rsidP="006F7F66">
      <w:pPr>
        <w:jc w:val="both"/>
        <w:rPr>
          <w:sz w:val="24"/>
          <w:lang w:val="en-GB"/>
        </w:rPr>
      </w:pPr>
    </w:p>
    <w:p w14:paraId="3D18AAEA" w14:textId="77777777" w:rsidR="006F7F66" w:rsidRDefault="006F7F66" w:rsidP="006F7F66">
      <w:pPr>
        <w:jc w:val="both"/>
        <w:rPr>
          <w:noProof/>
          <w:sz w:val="24"/>
          <w:szCs w:val="24"/>
        </w:rPr>
      </w:pPr>
      <w:r>
        <w:rPr>
          <w:b/>
          <w:sz w:val="24"/>
          <w:szCs w:val="24"/>
          <w:u w:val="single"/>
          <w:lang w:eastAsia="ko-KR"/>
        </w:rPr>
        <w:t>Observation 1</w:t>
      </w:r>
      <w:r w:rsidRPr="00561AB9">
        <w:rPr>
          <w:b/>
          <w:sz w:val="24"/>
          <w:szCs w:val="24"/>
          <w:u w:val="single"/>
          <w:lang w:eastAsia="ko-KR"/>
        </w:rPr>
        <w:t>:</w:t>
      </w:r>
      <w:r>
        <w:rPr>
          <w:noProof/>
          <w:sz w:val="24"/>
          <w:szCs w:val="24"/>
        </w:rPr>
        <w:t xml:space="preserve"> A scaled numerology </w:t>
      </w:r>
      <w:r w:rsidRPr="00561AB9">
        <w:rPr>
          <w:noProof/>
          <w:sz w:val="24"/>
          <w:szCs w:val="24"/>
        </w:rPr>
        <w:t>uplink control channel could provide a more efficient UE-turnaroun</w:t>
      </w:r>
      <w:r>
        <w:rPr>
          <w:noProof/>
          <w:sz w:val="24"/>
          <w:szCs w:val="24"/>
        </w:rPr>
        <w:t>d</w:t>
      </w:r>
      <w:r w:rsidRPr="00561AB9">
        <w:rPr>
          <w:noProof/>
          <w:sz w:val="24"/>
          <w:szCs w:val="24"/>
        </w:rPr>
        <w:t xml:space="preserve"> and enable </w:t>
      </w:r>
      <w:r>
        <w:rPr>
          <w:noProof/>
          <w:sz w:val="24"/>
          <w:szCs w:val="24"/>
        </w:rPr>
        <w:t>URLLC service</w:t>
      </w:r>
      <w:r w:rsidRPr="00561AB9">
        <w:rPr>
          <w:noProof/>
          <w:sz w:val="24"/>
          <w:szCs w:val="24"/>
        </w:rPr>
        <w:t>.</w:t>
      </w:r>
    </w:p>
    <w:p w14:paraId="7661AD71" w14:textId="77777777" w:rsidR="006F7F66" w:rsidRPr="00561AB9" w:rsidRDefault="006F7F66" w:rsidP="006F7F66">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Pr>
          <w:sz w:val="24"/>
          <w:szCs w:val="24"/>
        </w:rPr>
        <w:t xml:space="preserve"> at least for URLLC.</w:t>
      </w:r>
    </w:p>
    <w:p w14:paraId="1C47D179" w14:textId="77777777" w:rsidR="006F7F66" w:rsidRPr="00E947E2" w:rsidRDefault="006F7F66" w:rsidP="006F7F66">
      <w:pPr>
        <w:pStyle w:val="Heading1"/>
      </w:pPr>
      <w:r>
        <w:t xml:space="preserve">Scaled numerology Control </w:t>
      </w:r>
      <w:bookmarkStart w:id="4" w:name="_Ref450868574"/>
      <w:r>
        <w:t>Performance Evaluation</w:t>
      </w:r>
    </w:p>
    <w:p w14:paraId="0A3BC788"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The CP length for both data and control channels should be able to</w:t>
      </w:r>
      <w:r w:rsidRPr="00F00A3A">
        <w:rPr>
          <w:color w:val="000000"/>
          <w:sz w:val="24"/>
          <w:szCs w:val="27"/>
        </w:rPr>
        <w:t xml:space="preserve"> address </w:t>
      </w:r>
      <w:r>
        <w:rPr>
          <w:color w:val="000000"/>
          <w:sz w:val="24"/>
          <w:szCs w:val="27"/>
        </w:rPr>
        <w:t xml:space="preserve">a range of carrier frequencies, from lower than 1GHz, to higher than </w:t>
      </w:r>
      <w:r w:rsidRPr="00F00A3A">
        <w:rPr>
          <w:color w:val="000000"/>
          <w:sz w:val="24"/>
          <w:szCs w:val="27"/>
        </w:rPr>
        <w:t>6GHz</w:t>
      </w:r>
      <w:r>
        <w:rPr>
          <w:color w:val="000000"/>
          <w:sz w:val="24"/>
          <w:szCs w:val="27"/>
        </w:rPr>
        <w:t xml:space="preserve">, and a variety of different deployments scenarios. As we already demonstrated in a previous contribution [4], a </w:t>
      </w:r>
      <w:r w:rsidRPr="00DF249F">
        <w:rPr>
          <w:color w:val="000000"/>
          <w:sz w:val="24"/>
          <w:szCs w:val="27"/>
        </w:rPr>
        <w:t>scaled numerology family with normal CP</w:t>
      </w:r>
      <w:r>
        <w:rPr>
          <w:color w:val="000000"/>
          <w:sz w:val="24"/>
          <w:szCs w:val="27"/>
        </w:rPr>
        <w:t xml:space="preserve"> and a n</w:t>
      </w:r>
      <w:r w:rsidRPr="00F00A3A">
        <w:rPr>
          <w:color w:val="000000"/>
          <w:sz w:val="24"/>
          <w:szCs w:val="27"/>
        </w:rPr>
        <w:t xml:space="preserve">atural scaling of </w:t>
      </w:r>
      <w:r>
        <w:rPr>
          <w:color w:val="000000"/>
          <w:sz w:val="24"/>
          <w:szCs w:val="27"/>
        </w:rPr>
        <w:t xml:space="preserve">the </w:t>
      </w:r>
      <w:r w:rsidRPr="00F00A3A">
        <w:rPr>
          <w:color w:val="000000"/>
          <w:sz w:val="24"/>
          <w:szCs w:val="27"/>
        </w:rPr>
        <w:t>CP</w:t>
      </w:r>
      <w:r>
        <w:rPr>
          <w:color w:val="000000"/>
          <w:sz w:val="24"/>
          <w:szCs w:val="27"/>
        </w:rPr>
        <w:t xml:space="preserve"> length</w:t>
      </w:r>
      <w:r w:rsidRPr="00F00A3A">
        <w:rPr>
          <w:color w:val="000000"/>
          <w:sz w:val="24"/>
          <w:szCs w:val="27"/>
        </w:rPr>
        <w:t xml:space="preserve"> </w:t>
      </w:r>
      <w:r w:rsidRPr="00DF249F">
        <w:rPr>
          <w:color w:val="000000"/>
          <w:sz w:val="24"/>
          <w:szCs w:val="27"/>
        </w:rPr>
        <w:t>is able to</w:t>
      </w:r>
      <w:r>
        <w:rPr>
          <w:color w:val="000000"/>
          <w:sz w:val="24"/>
          <w:szCs w:val="27"/>
        </w:rPr>
        <w:t xml:space="preserve"> </w:t>
      </w:r>
      <w:r w:rsidRPr="00DF249F">
        <w:rPr>
          <w:color w:val="000000"/>
          <w:sz w:val="24"/>
          <w:szCs w:val="27"/>
        </w:rPr>
        <w:t xml:space="preserve">gracefully handle </w:t>
      </w:r>
      <w:r>
        <w:rPr>
          <w:color w:val="000000"/>
          <w:sz w:val="24"/>
          <w:szCs w:val="27"/>
        </w:rPr>
        <w:t xml:space="preserve">typical </w:t>
      </w:r>
      <w:r w:rsidRPr="00DF249F">
        <w:rPr>
          <w:color w:val="000000"/>
          <w:sz w:val="24"/>
          <w:szCs w:val="27"/>
        </w:rPr>
        <w:t>extended delay spread environments</w:t>
      </w:r>
      <w:r>
        <w:rPr>
          <w:color w:val="000000"/>
          <w:sz w:val="24"/>
          <w:szCs w:val="27"/>
        </w:rPr>
        <w:t xml:space="preserve"> (such as </w:t>
      </w:r>
      <w:r w:rsidRPr="00DF249F">
        <w:rPr>
          <w:color w:val="000000"/>
          <w:sz w:val="24"/>
          <w:szCs w:val="27"/>
        </w:rPr>
        <w:t>the Multicast and broadcast over a single frequency network (MBSFN) and the Extended Vehicular B model</w:t>
      </w:r>
      <w:r>
        <w:rPr>
          <w:color w:val="000000"/>
          <w:sz w:val="24"/>
          <w:szCs w:val="27"/>
        </w:rPr>
        <w:t>)</w:t>
      </w:r>
      <w:r w:rsidRPr="00DF249F">
        <w:rPr>
          <w:color w:val="000000"/>
          <w:sz w:val="24"/>
          <w:szCs w:val="27"/>
        </w:rPr>
        <w:t xml:space="preserve"> in low and high mobility</w:t>
      </w:r>
      <w:r>
        <w:rPr>
          <w:color w:val="000000"/>
          <w:sz w:val="24"/>
          <w:szCs w:val="27"/>
        </w:rPr>
        <w:t>.</w:t>
      </w:r>
      <w:r w:rsidRPr="00E90B7C">
        <w:rPr>
          <w:color w:val="000000"/>
          <w:sz w:val="24"/>
          <w:szCs w:val="27"/>
        </w:rPr>
        <w:t xml:space="preserve"> </w:t>
      </w:r>
      <w:r>
        <w:rPr>
          <w:color w:val="000000"/>
          <w:sz w:val="24"/>
          <w:szCs w:val="27"/>
        </w:rPr>
        <w:t>Note that the impact on SNR and on control channel performance due to excess delay beyond CP could be found in appendix of [1].</w:t>
      </w:r>
    </w:p>
    <w:p w14:paraId="32626534" w14:textId="77777777" w:rsidR="006F7F66" w:rsidRDefault="006F7F66" w:rsidP="006F7F66">
      <w:pPr>
        <w:overflowPunct/>
        <w:autoSpaceDE/>
        <w:autoSpaceDN/>
        <w:adjustRightInd/>
        <w:spacing w:after="0"/>
        <w:jc w:val="both"/>
        <w:textAlignment w:val="auto"/>
        <w:rPr>
          <w:color w:val="000000"/>
          <w:sz w:val="24"/>
          <w:szCs w:val="27"/>
        </w:rPr>
      </w:pPr>
    </w:p>
    <w:p w14:paraId="03D14998"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Typically, t</w:t>
      </w:r>
      <w:r w:rsidRPr="00A44887">
        <w:rPr>
          <w:color w:val="000000"/>
          <w:sz w:val="24"/>
          <w:szCs w:val="27"/>
        </w:rPr>
        <w:t>he numerology for the data channel should be chosen</w:t>
      </w:r>
      <w:r>
        <w:rPr>
          <w:color w:val="000000"/>
          <w:sz w:val="24"/>
          <w:szCs w:val="27"/>
        </w:rPr>
        <w:t xml:space="preserve"> such</w:t>
      </w:r>
      <w:r w:rsidRPr="00A44887">
        <w:rPr>
          <w:color w:val="000000"/>
          <w:sz w:val="24"/>
          <w:szCs w:val="27"/>
        </w:rPr>
        <w:t xml:space="preserve"> that high spectrum efficiency </w:t>
      </w:r>
      <w:r>
        <w:rPr>
          <w:color w:val="000000"/>
          <w:sz w:val="24"/>
          <w:szCs w:val="27"/>
        </w:rPr>
        <w:t xml:space="preserve">can be supported </w:t>
      </w:r>
      <w:r w:rsidRPr="00A44887">
        <w:rPr>
          <w:color w:val="000000"/>
          <w:sz w:val="24"/>
          <w:szCs w:val="27"/>
        </w:rPr>
        <w:t>even for deployment scenarios with large delay spread</w:t>
      </w:r>
      <w:r>
        <w:rPr>
          <w:color w:val="000000"/>
          <w:sz w:val="24"/>
          <w:szCs w:val="27"/>
        </w:rPr>
        <w:t>.</w:t>
      </w:r>
      <w:r w:rsidRPr="00A44887">
        <w:rPr>
          <w:color w:val="000000"/>
          <w:sz w:val="24"/>
          <w:szCs w:val="27"/>
        </w:rPr>
        <w:t xml:space="preserve"> </w:t>
      </w:r>
      <w:r>
        <w:rPr>
          <w:color w:val="000000"/>
          <w:sz w:val="24"/>
          <w:szCs w:val="27"/>
        </w:rPr>
        <w:t xml:space="preserve">If the CP is not long enough, </w:t>
      </w:r>
      <w:r w:rsidRPr="00A44887">
        <w:rPr>
          <w:color w:val="000000"/>
          <w:sz w:val="24"/>
          <w:szCs w:val="27"/>
        </w:rPr>
        <w:t xml:space="preserve">the </w:t>
      </w:r>
      <w:r>
        <w:rPr>
          <w:color w:val="000000"/>
          <w:sz w:val="24"/>
          <w:szCs w:val="27"/>
        </w:rPr>
        <w:t>interference</w:t>
      </w:r>
      <w:r w:rsidRPr="00A44887">
        <w:rPr>
          <w:color w:val="000000"/>
          <w:sz w:val="24"/>
          <w:szCs w:val="27"/>
        </w:rPr>
        <w:t xml:space="preserve"> due to excessive delay spread </w:t>
      </w:r>
      <w:r>
        <w:rPr>
          <w:color w:val="000000"/>
          <w:sz w:val="24"/>
          <w:szCs w:val="27"/>
        </w:rPr>
        <w:t xml:space="preserve">beyond the CP </w:t>
      </w:r>
      <w:r w:rsidRPr="00A44887">
        <w:rPr>
          <w:color w:val="000000"/>
          <w:sz w:val="24"/>
          <w:szCs w:val="27"/>
        </w:rPr>
        <w:t xml:space="preserve">would limit the effective SINR at high geometries. </w:t>
      </w:r>
      <w:r>
        <w:rPr>
          <w:color w:val="000000"/>
          <w:sz w:val="24"/>
          <w:szCs w:val="27"/>
        </w:rPr>
        <w:t xml:space="preserve">However, for the control channel, the operating SINR point is significantly lower, since the maximum spectral efficiency that the control channel supports </w:t>
      </w:r>
      <w:proofErr w:type="gramStart"/>
      <w:r>
        <w:rPr>
          <w:color w:val="000000"/>
          <w:sz w:val="24"/>
          <w:szCs w:val="27"/>
        </w:rPr>
        <w:t>is</w:t>
      </w:r>
      <w:proofErr w:type="gramEnd"/>
      <w:r>
        <w:rPr>
          <w:color w:val="000000"/>
          <w:sz w:val="24"/>
          <w:szCs w:val="27"/>
        </w:rPr>
        <w:t xml:space="preserve"> much lower than that of the data channel. Thus, a shorter CP length for symbols that carry the control channel is expected not to impact the performance significantly even if it leads to a larger </w:t>
      </w:r>
      <w:proofErr w:type="spellStart"/>
      <w:r>
        <w:rPr>
          <w:color w:val="000000"/>
          <w:sz w:val="24"/>
          <w:szCs w:val="27"/>
        </w:rPr>
        <w:t>intersymbol</w:t>
      </w:r>
      <w:proofErr w:type="spellEnd"/>
      <w:r>
        <w:rPr>
          <w:color w:val="000000"/>
          <w:sz w:val="24"/>
          <w:szCs w:val="27"/>
        </w:rPr>
        <w:t xml:space="preserve"> interference.</w:t>
      </w:r>
    </w:p>
    <w:p w14:paraId="0F010D8F" w14:textId="77777777" w:rsidR="006F7F66" w:rsidRDefault="006F7F66" w:rsidP="006F7F66">
      <w:pPr>
        <w:overflowPunct/>
        <w:autoSpaceDE/>
        <w:autoSpaceDN/>
        <w:adjustRightInd/>
        <w:spacing w:after="0"/>
        <w:jc w:val="both"/>
        <w:textAlignment w:val="auto"/>
        <w:rPr>
          <w:color w:val="000000"/>
          <w:sz w:val="24"/>
          <w:szCs w:val="27"/>
        </w:rPr>
      </w:pPr>
    </w:p>
    <w:p w14:paraId="3671E969" w14:textId="77777777" w:rsidR="006F7F66" w:rsidRDefault="006F7F66" w:rsidP="006F7F66">
      <w:pPr>
        <w:overflowPunct/>
        <w:spacing w:after="0"/>
        <w:jc w:val="both"/>
        <w:textAlignment w:val="auto"/>
        <w:rPr>
          <w:color w:val="000000"/>
          <w:sz w:val="24"/>
          <w:szCs w:val="27"/>
        </w:rPr>
      </w:pPr>
      <w:r>
        <w:rPr>
          <w:color w:val="000000"/>
          <w:sz w:val="24"/>
          <w:szCs w:val="27"/>
        </w:rPr>
        <w:t xml:space="preserve">To demonstrate this, in this contribution, we consider the </w:t>
      </w:r>
      <w:r w:rsidRPr="00DF249F">
        <w:rPr>
          <w:color w:val="000000"/>
          <w:sz w:val="24"/>
          <w:szCs w:val="27"/>
        </w:rPr>
        <w:t>scaled numerology family with f</w:t>
      </w:r>
      <w:r w:rsidRPr="00DF249F">
        <w:rPr>
          <w:color w:val="000000"/>
          <w:sz w:val="24"/>
          <w:szCs w:val="27"/>
          <w:vertAlign w:val="subscript"/>
        </w:rPr>
        <w:t>0</w:t>
      </w:r>
      <w:r>
        <w:rPr>
          <w:color w:val="000000"/>
          <w:sz w:val="24"/>
          <w:szCs w:val="27"/>
        </w:rPr>
        <w:t xml:space="preserve"> = 15</w:t>
      </w:r>
      <w:r w:rsidRPr="00DF249F">
        <w:rPr>
          <w:color w:val="000000"/>
          <w:sz w:val="24"/>
          <w:szCs w:val="27"/>
        </w:rPr>
        <w:t xml:space="preserve"> </w:t>
      </w:r>
      <w:proofErr w:type="spellStart"/>
      <w:r w:rsidRPr="00DF249F">
        <w:rPr>
          <w:color w:val="000000"/>
          <w:sz w:val="24"/>
          <w:szCs w:val="27"/>
        </w:rPr>
        <w:t>K</w:t>
      </w:r>
      <w:r>
        <w:rPr>
          <w:color w:val="000000"/>
          <w:sz w:val="24"/>
          <w:szCs w:val="27"/>
        </w:rPr>
        <w:t>H</w:t>
      </w:r>
      <w:r w:rsidRPr="00DF249F">
        <w:rPr>
          <w:color w:val="000000"/>
          <w:sz w:val="24"/>
          <w:szCs w:val="27"/>
        </w:rPr>
        <w:t>z</w:t>
      </w:r>
      <w:proofErr w:type="spellEnd"/>
      <w:r w:rsidRPr="00DF249F">
        <w:rPr>
          <w:color w:val="000000"/>
          <w:sz w:val="24"/>
          <w:szCs w:val="27"/>
        </w:rPr>
        <w:t xml:space="preserve">, a scaling </w:t>
      </w:r>
      <w:r w:rsidRPr="0088693A">
        <w:rPr>
          <w:color w:val="000000"/>
          <w:sz w:val="24"/>
          <w:szCs w:val="24"/>
        </w:rPr>
        <w:t xml:space="preserve">of </w:t>
      </w:r>
      <w:proofErr w:type="spellStart"/>
      <w:r w:rsidRPr="0088693A">
        <w:rPr>
          <w:sz w:val="24"/>
          <w:szCs w:val="24"/>
        </w:rPr>
        <w:t>f</w:t>
      </w:r>
      <w:r w:rsidRPr="0088693A">
        <w:rPr>
          <w:sz w:val="24"/>
          <w:szCs w:val="24"/>
          <w:vertAlign w:val="subscript"/>
        </w:rPr>
        <w:t>sc</w:t>
      </w:r>
      <w:proofErr w:type="spellEnd"/>
      <w:r w:rsidRPr="0088693A">
        <w:rPr>
          <w:sz w:val="24"/>
          <w:szCs w:val="24"/>
        </w:rPr>
        <w:t xml:space="preserve"> = f</w:t>
      </w:r>
      <w:r w:rsidRPr="0088693A">
        <w:rPr>
          <w:sz w:val="24"/>
          <w:szCs w:val="24"/>
          <w:vertAlign w:val="subscript"/>
        </w:rPr>
        <w:t>0</w:t>
      </w:r>
      <m:oMath>
        <m:r>
          <w:rPr>
            <w:rFonts w:ascii="Cambria Math" w:hAnsi="Cambria Math"/>
            <w:sz w:val="24"/>
            <w:szCs w:val="24"/>
            <w:vertAlign w:val="subscript"/>
          </w:rPr>
          <m:t>⋅</m:t>
        </m:r>
      </m:oMath>
      <w:r w:rsidRPr="0088693A">
        <w:rPr>
          <w:sz w:val="24"/>
          <w:szCs w:val="24"/>
        </w:rPr>
        <w:t>2</w:t>
      </w:r>
      <w:proofErr w:type="gramStart"/>
      <w:r w:rsidRPr="0088693A">
        <w:rPr>
          <w:sz w:val="24"/>
          <w:szCs w:val="24"/>
          <w:vertAlign w:val="superscript"/>
        </w:rPr>
        <w:t>m</w:t>
      </w:r>
      <w:r w:rsidRPr="00DF249F">
        <w:rPr>
          <w:sz w:val="22"/>
          <w:vertAlign w:val="superscript"/>
        </w:rPr>
        <w:t xml:space="preserve">  </w:t>
      </w:r>
      <w:r w:rsidRPr="00DF249F">
        <w:rPr>
          <w:color w:val="000000"/>
          <w:sz w:val="24"/>
          <w:szCs w:val="27"/>
        </w:rPr>
        <w:t>with</w:t>
      </w:r>
      <w:proofErr w:type="gramEnd"/>
      <w:r w:rsidRPr="00DF249F">
        <w:rPr>
          <w:color w:val="000000"/>
          <w:sz w:val="24"/>
          <w:szCs w:val="27"/>
        </w:rPr>
        <w:t xml:space="preserve"> a CP overhead of 7.031% of the symbol length (details in Table 1</w:t>
      </w:r>
      <w:r>
        <w:rPr>
          <w:color w:val="000000"/>
          <w:sz w:val="24"/>
          <w:szCs w:val="27"/>
        </w:rPr>
        <w:t>), similar to LTE.</w:t>
      </w:r>
    </w:p>
    <w:p w14:paraId="4B143F67" w14:textId="77777777" w:rsidR="006F7F66" w:rsidRDefault="006F7F66" w:rsidP="006F7F66">
      <w:pPr>
        <w:overflowPunct/>
        <w:spacing w:after="0"/>
        <w:jc w:val="both"/>
        <w:textAlignment w:val="auto"/>
        <w:rPr>
          <w:color w:val="000000"/>
          <w:sz w:val="24"/>
          <w:szCs w:val="27"/>
        </w:rPr>
      </w:pPr>
    </w:p>
    <w:tbl>
      <w:tblPr>
        <w:tblStyle w:val="TableGridLight"/>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763"/>
        <w:gridCol w:w="1872"/>
        <w:gridCol w:w="1896"/>
        <w:gridCol w:w="1763"/>
      </w:tblGrid>
      <w:tr w:rsidR="006F7F66" w:rsidRPr="00D61FD4" w14:paraId="436DD3F8" w14:textId="77777777" w:rsidTr="00B24597">
        <w:trPr>
          <w:trHeight w:val="348"/>
          <w:jc w:val="center"/>
        </w:trPr>
        <w:tc>
          <w:tcPr>
            <w:tcW w:w="2335" w:type="dxa"/>
            <w:vAlign w:val="center"/>
            <w:hideMark/>
          </w:tcPr>
          <w:p w14:paraId="62D13F96" w14:textId="77777777" w:rsidR="006F7F66" w:rsidRPr="00D61FD4" w:rsidRDefault="006F7F66" w:rsidP="00B24597">
            <w:pPr>
              <w:jc w:val="center"/>
            </w:pPr>
            <w:r w:rsidRPr="00D61FD4">
              <w:rPr>
                <w:b/>
              </w:rPr>
              <w:t>Subcarrier Spacing</w:t>
            </w:r>
          </w:p>
        </w:tc>
        <w:tc>
          <w:tcPr>
            <w:tcW w:w="1763" w:type="dxa"/>
            <w:shd w:val="clear" w:color="auto" w:fill="BDD6EE" w:themeFill="accent1" w:themeFillTint="66"/>
            <w:vAlign w:val="center"/>
          </w:tcPr>
          <w:p w14:paraId="10815049" w14:textId="77777777" w:rsidR="006F7F66" w:rsidRPr="00D61FD4" w:rsidRDefault="006F7F66" w:rsidP="00B24597">
            <w:pPr>
              <w:jc w:val="center"/>
              <w:rPr>
                <w:b/>
              </w:rPr>
            </w:pPr>
            <w:r>
              <w:rPr>
                <w:b/>
              </w:rPr>
              <w:t xml:space="preserve">15 </w:t>
            </w:r>
            <w:proofErr w:type="spellStart"/>
            <w:r>
              <w:rPr>
                <w:b/>
              </w:rPr>
              <w:t>KHz</w:t>
            </w:r>
            <w:proofErr w:type="spellEnd"/>
          </w:p>
        </w:tc>
        <w:tc>
          <w:tcPr>
            <w:tcW w:w="1872" w:type="dxa"/>
            <w:shd w:val="clear" w:color="auto" w:fill="BDD6EE" w:themeFill="accent1" w:themeFillTint="66"/>
            <w:vAlign w:val="center"/>
            <w:hideMark/>
          </w:tcPr>
          <w:p w14:paraId="4BF1BE7C" w14:textId="77777777" w:rsidR="006F7F66" w:rsidRPr="00D61FD4" w:rsidRDefault="006F7F66" w:rsidP="00B24597">
            <w:pPr>
              <w:jc w:val="center"/>
            </w:pPr>
            <w:r w:rsidRPr="00465C73">
              <w:rPr>
                <w:rFonts w:eastAsia="Malgun Gothic"/>
                <w:b/>
                <w:sz w:val="22"/>
                <w:lang w:eastAsia="ko-KR"/>
              </w:rPr>
              <w:t>30kHz</w:t>
            </w:r>
          </w:p>
        </w:tc>
        <w:tc>
          <w:tcPr>
            <w:tcW w:w="1896" w:type="dxa"/>
            <w:shd w:val="clear" w:color="auto" w:fill="BDD6EE" w:themeFill="accent1" w:themeFillTint="66"/>
            <w:vAlign w:val="center"/>
            <w:hideMark/>
          </w:tcPr>
          <w:p w14:paraId="14257D35" w14:textId="77777777" w:rsidR="006F7F66" w:rsidRPr="00D61FD4" w:rsidRDefault="006F7F66" w:rsidP="00B24597">
            <w:pPr>
              <w:jc w:val="center"/>
            </w:pPr>
            <w:r w:rsidRPr="00465C73">
              <w:rPr>
                <w:rFonts w:eastAsia="Malgun Gothic"/>
                <w:b/>
                <w:sz w:val="22"/>
                <w:lang w:eastAsia="ko-KR"/>
              </w:rPr>
              <w:t>60kHz</w:t>
            </w:r>
          </w:p>
        </w:tc>
        <w:tc>
          <w:tcPr>
            <w:tcW w:w="1763" w:type="dxa"/>
            <w:shd w:val="clear" w:color="auto" w:fill="BDD6EE" w:themeFill="accent1" w:themeFillTint="66"/>
            <w:vAlign w:val="center"/>
            <w:hideMark/>
          </w:tcPr>
          <w:p w14:paraId="7D410BC7" w14:textId="77777777" w:rsidR="006F7F66" w:rsidRPr="00D61FD4" w:rsidRDefault="006F7F66" w:rsidP="00B24597">
            <w:pPr>
              <w:jc w:val="center"/>
            </w:pPr>
            <w:r w:rsidRPr="00465C73">
              <w:rPr>
                <w:rFonts w:eastAsia="Malgun Gothic"/>
                <w:b/>
                <w:sz w:val="22"/>
                <w:lang w:eastAsia="ko-KR"/>
              </w:rPr>
              <w:t>120kHz</w:t>
            </w:r>
          </w:p>
        </w:tc>
      </w:tr>
      <w:tr w:rsidR="006F7F66" w:rsidRPr="00D61FD4" w14:paraId="646B72BE" w14:textId="77777777" w:rsidTr="00B24597">
        <w:trPr>
          <w:trHeight w:val="290"/>
          <w:jc w:val="center"/>
        </w:trPr>
        <w:tc>
          <w:tcPr>
            <w:tcW w:w="2335" w:type="dxa"/>
            <w:vAlign w:val="center"/>
            <w:hideMark/>
          </w:tcPr>
          <w:p w14:paraId="6769A28A" w14:textId="77777777" w:rsidR="006F7F66" w:rsidRPr="00D61FD4" w:rsidRDefault="006F7F66" w:rsidP="00B24597">
            <w:pPr>
              <w:jc w:val="center"/>
            </w:pPr>
            <w:r>
              <w:rPr>
                <w:b/>
              </w:rPr>
              <w:t>CP (</w:t>
            </w:r>
            <w:proofErr w:type="spellStart"/>
            <m:oMath>
              <m:r>
                <m:rPr>
                  <m:nor/>
                </m:rPr>
                <w:rPr>
                  <w:b/>
                </w:rPr>
                <m:t>μsec</m:t>
              </m:r>
            </m:oMath>
            <w:proofErr w:type="spellEnd"/>
            <w:r w:rsidRPr="00D61FD4">
              <w:rPr>
                <w:b/>
              </w:rPr>
              <w:t>)</w:t>
            </w:r>
          </w:p>
        </w:tc>
        <w:tc>
          <w:tcPr>
            <w:tcW w:w="1763" w:type="dxa"/>
            <w:shd w:val="clear" w:color="auto" w:fill="BDD6EE" w:themeFill="accent1" w:themeFillTint="66"/>
            <w:vAlign w:val="center"/>
          </w:tcPr>
          <w:p w14:paraId="5A8D72FB" w14:textId="77777777" w:rsidR="006F7F66" w:rsidRPr="00D61FD4" w:rsidRDefault="006F7F66" w:rsidP="00B24597">
            <w:pPr>
              <w:jc w:val="center"/>
            </w:pPr>
            <w:r>
              <w:t>4.6875</w:t>
            </w:r>
          </w:p>
        </w:tc>
        <w:tc>
          <w:tcPr>
            <w:tcW w:w="1872" w:type="dxa"/>
            <w:shd w:val="clear" w:color="auto" w:fill="BDD6EE" w:themeFill="accent1" w:themeFillTint="66"/>
            <w:vAlign w:val="center"/>
          </w:tcPr>
          <w:p w14:paraId="7F80E1C5" w14:textId="77777777" w:rsidR="006F7F66" w:rsidRPr="00D61FD4" w:rsidRDefault="006F7F66" w:rsidP="00B24597">
            <w:pPr>
              <w:jc w:val="center"/>
            </w:pPr>
            <w:r>
              <w:t>2.3437</w:t>
            </w:r>
          </w:p>
        </w:tc>
        <w:tc>
          <w:tcPr>
            <w:tcW w:w="1896" w:type="dxa"/>
            <w:shd w:val="clear" w:color="auto" w:fill="BDD6EE" w:themeFill="accent1" w:themeFillTint="66"/>
            <w:vAlign w:val="center"/>
          </w:tcPr>
          <w:p w14:paraId="0E623390" w14:textId="77777777" w:rsidR="006F7F66" w:rsidRPr="00D61FD4" w:rsidRDefault="006F7F66" w:rsidP="00B24597">
            <w:pPr>
              <w:jc w:val="center"/>
            </w:pPr>
            <w:r>
              <w:t>1.1719</w:t>
            </w:r>
          </w:p>
        </w:tc>
        <w:tc>
          <w:tcPr>
            <w:tcW w:w="1763" w:type="dxa"/>
            <w:shd w:val="clear" w:color="auto" w:fill="BDD6EE" w:themeFill="accent1" w:themeFillTint="66"/>
            <w:vAlign w:val="center"/>
          </w:tcPr>
          <w:p w14:paraId="6860CB7D" w14:textId="77777777" w:rsidR="006F7F66" w:rsidRPr="00D61FD4" w:rsidRDefault="006F7F66" w:rsidP="00B24597">
            <w:pPr>
              <w:jc w:val="center"/>
            </w:pPr>
            <w:r>
              <w:t>0.5859</w:t>
            </w:r>
          </w:p>
        </w:tc>
      </w:tr>
      <w:tr w:rsidR="006F7F66" w:rsidRPr="00D61FD4" w14:paraId="21FFC170" w14:textId="77777777" w:rsidTr="00B24597">
        <w:trPr>
          <w:trHeight w:val="387"/>
          <w:jc w:val="center"/>
        </w:trPr>
        <w:tc>
          <w:tcPr>
            <w:tcW w:w="2335" w:type="dxa"/>
            <w:vAlign w:val="center"/>
            <w:hideMark/>
          </w:tcPr>
          <w:p w14:paraId="091DD84A" w14:textId="77777777" w:rsidR="006F7F66" w:rsidRPr="00D61FD4" w:rsidRDefault="006F7F66" w:rsidP="00B24597">
            <w:pPr>
              <w:jc w:val="center"/>
            </w:pPr>
            <w:r w:rsidRPr="00D61FD4">
              <w:rPr>
                <w:b/>
              </w:rPr>
              <w:t xml:space="preserve">Symbol </w:t>
            </w:r>
            <w:r w:rsidRPr="0093630A">
              <w:rPr>
                <w:b/>
              </w:rPr>
              <w:t xml:space="preserve">Length </w:t>
            </w:r>
            <m:oMath>
              <m:r>
                <m:rPr>
                  <m:sty m:val="b"/>
                </m:rPr>
                <w:rPr>
                  <w:rFonts w:ascii="Cambria Math" w:hAnsi="Cambria Math"/>
                </w:rPr>
                <m:t>(</m:t>
              </m:r>
              <m:r>
                <m:rPr>
                  <m:nor/>
                </m:rPr>
                <w:rPr>
                  <w:b/>
                </w:rPr>
                <m:t>μsec</m:t>
              </m:r>
            </m:oMath>
            <w:r w:rsidRPr="0093630A">
              <w:rPr>
                <w:b/>
              </w:rPr>
              <w:t>)</w:t>
            </w:r>
          </w:p>
        </w:tc>
        <w:tc>
          <w:tcPr>
            <w:tcW w:w="1763" w:type="dxa"/>
            <w:shd w:val="clear" w:color="auto" w:fill="BDD6EE" w:themeFill="accent1" w:themeFillTint="66"/>
            <w:vAlign w:val="center"/>
          </w:tcPr>
          <w:p w14:paraId="58FF4C9F" w14:textId="77777777" w:rsidR="006F7F66" w:rsidRPr="00D61FD4" w:rsidRDefault="006F7F66" w:rsidP="00B24597">
            <w:pPr>
              <w:jc w:val="center"/>
            </w:pPr>
            <w:r w:rsidRPr="00CB7657">
              <w:t>71.3542</w:t>
            </w:r>
          </w:p>
        </w:tc>
        <w:tc>
          <w:tcPr>
            <w:tcW w:w="1872" w:type="dxa"/>
            <w:shd w:val="clear" w:color="auto" w:fill="BDD6EE" w:themeFill="accent1" w:themeFillTint="66"/>
            <w:vAlign w:val="center"/>
          </w:tcPr>
          <w:p w14:paraId="552B6360" w14:textId="77777777" w:rsidR="006F7F66" w:rsidRPr="00D61FD4" w:rsidRDefault="006F7F66" w:rsidP="00B24597">
            <w:pPr>
              <w:jc w:val="center"/>
            </w:pPr>
            <w:r w:rsidRPr="001B6645">
              <w:t>35.6771</w:t>
            </w:r>
          </w:p>
        </w:tc>
        <w:tc>
          <w:tcPr>
            <w:tcW w:w="1896" w:type="dxa"/>
            <w:shd w:val="clear" w:color="auto" w:fill="BDD6EE" w:themeFill="accent1" w:themeFillTint="66"/>
            <w:vAlign w:val="center"/>
          </w:tcPr>
          <w:p w14:paraId="7C903E20" w14:textId="77777777" w:rsidR="006F7F66" w:rsidRPr="00D61FD4" w:rsidRDefault="006F7F66" w:rsidP="00B24597">
            <w:pPr>
              <w:jc w:val="center"/>
            </w:pPr>
            <w:r w:rsidRPr="001B6645">
              <w:t xml:space="preserve">  17.8386</w:t>
            </w:r>
          </w:p>
        </w:tc>
        <w:tc>
          <w:tcPr>
            <w:tcW w:w="1763" w:type="dxa"/>
            <w:shd w:val="clear" w:color="auto" w:fill="BDD6EE" w:themeFill="accent1" w:themeFillTint="66"/>
            <w:vAlign w:val="center"/>
          </w:tcPr>
          <w:p w14:paraId="44AC532D" w14:textId="77777777" w:rsidR="006F7F66" w:rsidRPr="00D61FD4" w:rsidRDefault="006F7F66" w:rsidP="00B24597">
            <w:pPr>
              <w:jc w:val="center"/>
            </w:pPr>
            <w:r w:rsidRPr="001B6645">
              <w:t>8.9193</w:t>
            </w:r>
          </w:p>
        </w:tc>
      </w:tr>
    </w:tbl>
    <w:p w14:paraId="6BACA23A" w14:textId="77777777" w:rsidR="006F7F66" w:rsidRPr="00630C50" w:rsidRDefault="006F7F66" w:rsidP="006F7F66">
      <w:pPr>
        <w:jc w:val="center"/>
        <w:rPr>
          <w:b/>
          <w:sz w:val="24"/>
          <w:szCs w:val="24"/>
          <w:lang w:val="en-GB"/>
        </w:rPr>
      </w:pPr>
      <w:r w:rsidRPr="00630C50">
        <w:rPr>
          <w:b/>
          <w:sz w:val="24"/>
          <w:szCs w:val="24"/>
        </w:rPr>
        <w:t xml:space="preserve">Table </w:t>
      </w:r>
      <w:r w:rsidRPr="00630C50">
        <w:rPr>
          <w:b/>
          <w:sz w:val="24"/>
          <w:szCs w:val="24"/>
        </w:rPr>
        <w:fldChar w:fldCharType="begin"/>
      </w:r>
      <w:r w:rsidRPr="00630C50">
        <w:rPr>
          <w:b/>
          <w:sz w:val="24"/>
          <w:szCs w:val="24"/>
        </w:rPr>
        <w:instrText xml:space="preserve"> SEQ Table \* ARABIC </w:instrText>
      </w:r>
      <w:r w:rsidRPr="00630C50">
        <w:rPr>
          <w:b/>
          <w:sz w:val="24"/>
          <w:szCs w:val="24"/>
        </w:rPr>
        <w:fldChar w:fldCharType="separate"/>
      </w:r>
      <w:r>
        <w:rPr>
          <w:b/>
          <w:noProof/>
          <w:sz w:val="24"/>
          <w:szCs w:val="24"/>
        </w:rPr>
        <w:t>1</w:t>
      </w:r>
      <w:r w:rsidRPr="00630C50">
        <w:rPr>
          <w:b/>
          <w:sz w:val="24"/>
          <w:szCs w:val="24"/>
        </w:rPr>
        <w:fldChar w:fldCharType="end"/>
      </w:r>
      <w:r w:rsidRPr="00630C50">
        <w:rPr>
          <w:b/>
          <w:sz w:val="24"/>
          <w:szCs w:val="24"/>
        </w:rPr>
        <w:t>: Scaled numerology family based on the normal CP numerology</w:t>
      </w:r>
    </w:p>
    <w:p w14:paraId="58D88248" w14:textId="77777777" w:rsidR="006F7F66" w:rsidRPr="00F618E3" w:rsidRDefault="006F7F66" w:rsidP="006F7F66">
      <w:pPr>
        <w:pStyle w:val="Caption"/>
        <w:keepNext/>
        <w:jc w:val="both"/>
        <w:rPr>
          <w:rFonts w:eastAsia="Malgun Gothic"/>
          <w:b w:val="0"/>
          <w:sz w:val="24"/>
          <w:szCs w:val="24"/>
          <w:lang w:eastAsia="ko-KR"/>
        </w:rPr>
      </w:pPr>
      <w:r w:rsidRPr="00F618E3">
        <w:rPr>
          <w:rFonts w:eastAsia="Malgun Gothic"/>
          <w:b w:val="0"/>
          <w:sz w:val="24"/>
          <w:szCs w:val="24"/>
          <w:lang w:eastAsia="ko-KR"/>
        </w:rPr>
        <w:t xml:space="preserve">Table 2 presents the SINR floor due to the ISI for each of the numerologies summarized in Table 1 for a TDL-C channel with RMS delay spread of 10nsec, 30nsec, 100nsec, 300nsec, and 1000nsec.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2104"/>
        <w:gridCol w:w="2102"/>
        <w:gridCol w:w="2100"/>
        <w:gridCol w:w="2100"/>
      </w:tblGrid>
      <w:tr w:rsidR="006F7F66" w:rsidRPr="00E8293B" w14:paraId="042BB275" w14:textId="77777777" w:rsidTr="00B24597">
        <w:trPr>
          <w:trHeight w:val="428"/>
        </w:trPr>
        <w:tc>
          <w:tcPr>
            <w:tcW w:w="781" w:type="pct"/>
            <w:shd w:val="clear" w:color="auto" w:fill="F2DBDB"/>
            <w:vAlign w:val="center"/>
          </w:tcPr>
          <w:p w14:paraId="050ADDB3" w14:textId="77777777" w:rsidR="006F7F66" w:rsidRPr="00465C73" w:rsidRDefault="006F7F66" w:rsidP="00B24597">
            <w:pPr>
              <w:spacing w:afterLines="50" w:after="120"/>
              <w:jc w:val="center"/>
              <w:rPr>
                <w:rFonts w:eastAsia="Malgun Gothic"/>
                <w:b/>
                <w:sz w:val="22"/>
                <w:lang w:eastAsia="ko-KR"/>
              </w:rPr>
            </w:pPr>
          </w:p>
        </w:tc>
        <w:tc>
          <w:tcPr>
            <w:tcW w:w="1056" w:type="pct"/>
            <w:shd w:val="clear" w:color="auto" w:fill="F2DBDB"/>
            <w:vAlign w:val="center"/>
          </w:tcPr>
          <w:p w14:paraId="0CE7D1D4"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15kHz</w:t>
            </w:r>
          </w:p>
        </w:tc>
        <w:tc>
          <w:tcPr>
            <w:tcW w:w="1055" w:type="pct"/>
            <w:shd w:val="clear" w:color="auto" w:fill="F2DBDB"/>
            <w:vAlign w:val="center"/>
          </w:tcPr>
          <w:p w14:paraId="34697587"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30kHz</w:t>
            </w:r>
          </w:p>
        </w:tc>
        <w:tc>
          <w:tcPr>
            <w:tcW w:w="1054" w:type="pct"/>
            <w:shd w:val="clear" w:color="auto" w:fill="F2DBDB"/>
            <w:vAlign w:val="center"/>
          </w:tcPr>
          <w:p w14:paraId="4CCE88C5"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60kHz</w:t>
            </w:r>
          </w:p>
        </w:tc>
        <w:tc>
          <w:tcPr>
            <w:tcW w:w="1054" w:type="pct"/>
            <w:shd w:val="clear" w:color="auto" w:fill="F2DBDB"/>
            <w:vAlign w:val="center"/>
          </w:tcPr>
          <w:p w14:paraId="2A61C768"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120kHz</w:t>
            </w:r>
          </w:p>
        </w:tc>
      </w:tr>
      <w:tr w:rsidR="006F7F66" w:rsidRPr="00E8293B" w14:paraId="5C8460AD" w14:textId="77777777" w:rsidTr="00B24597">
        <w:trPr>
          <w:trHeight w:val="170"/>
        </w:trPr>
        <w:tc>
          <w:tcPr>
            <w:tcW w:w="781" w:type="pct"/>
            <w:shd w:val="clear" w:color="auto" w:fill="F2DBDB"/>
            <w:vAlign w:val="center"/>
          </w:tcPr>
          <w:p w14:paraId="1B69E588"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10ns</w:t>
            </w:r>
          </w:p>
        </w:tc>
        <w:tc>
          <w:tcPr>
            <w:tcW w:w="1056" w:type="pct"/>
            <w:shd w:val="clear" w:color="auto" w:fill="F2F2F2"/>
            <w:vAlign w:val="center"/>
          </w:tcPr>
          <w:p w14:paraId="489760A2"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5" w:type="pct"/>
            <w:shd w:val="clear" w:color="auto" w:fill="F2F2F2"/>
            <w:vAlign w:val="center"/>
          </w:tcPr>
          <w:p w14:paraId="7262F29A"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2F2F2"/>
            <w:vAlign w:val="center"/>
          </w:tcPr>
          <w:p w14:paraId="5901F049"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2F2F2"/>
            <w:vAlign w:val="center"/>
          </w:tcPr>
          <w:p w14:paraId="3A6C018D"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r>
      <w:tr w:rsidR="006F7F66" w:rsidRPr="00E8293B" w14:paraId="06EEF3A6" w14:textId="77777777" w:rsidTr="00B24597">
        <w:trPr>
          <w:trHeight w:val="170"/>
        </w:trPr>
        <w:tc>
          <w:tcPr>
            <w:tcW w:w="781" w:type="pct"/>
            <w:shd w:val="clear" w:color="auto" w:fill="F2DBDB"/>
            <w:vAlign w:val="center"/>
          </w:tcPr>
          <w:p w14:paraId="5D7DC09C"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30ns</w:t>
            </w:r>
          </w:p>
        </w:tc>
        <w:tc>
          <w:tcPr>
            <w:tcW w:w="1056" w:type="pct"/>
            <w:shd w:val="clear" w:color="auto" w:fill="F2F2F2"/>
            <w:vAlign w:val="center"/>
          </w:tcPr>
          <w:p w14:paraId="3C5312DD"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5" w:type="pct"/>
            <w:shd w:val="clear" w:color="auto" w:fill="F2F2F2"/>
            <w:vAlign w:val="center"/>
          </w:tcPr>
          <w:p w14:paraId="5A077B3B"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2F2F2"/>
            <w:vAlign w:val="center"/>
          </w:tcPr>
          <w:p w14:paraId="6C0F6331"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2F2F2"/>
            <w:vAlign w:val="center"/>
          </w:tcPr>
          <w:p w14:paraId="255D4A0F"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r>
      <w:tr w:rsidR="006F7F66" w:rsidRPr="00E8293B" w14:paraId="00860298" w14:textId="77777777" w:rsidTr="00B24597">
        <w:trPr>
          <w:trHeight w:val="170"/>
        </w:trPr>
        <w:tc>
          <w:tcPr>
            <w:tcW w:w="781" w:type="pct"/>
            <w:shd w:val="clear" w:color="auto" w:fill="F2DBDB"/>
            <w:vAlign w:val="center"/>
          </w:tcPr>
          <w:p w14:paraId="1805E4C0"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100ns</w:t>
            </w:r>
          </w:p>
        </w:tc>
        <w:tc>
          <w:tcPr>
            <w:tcW w:w="1056" w:type="pct"/>
            <w:shd w:val="clear" w:color="auto" w:fill="F2F2F2"/>
            <w:vAlign w:val="center"/>
          </w:tcPr>
          <w:p w14:paraId="35254B21"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5" w:type="pct"/>
            <w:shd w:val="clear" w:color="auto" w:fill="F2F2F2"/>
            <w:vAlign w:val="center"/>
          </w:tcPr>
          <w:p w14:paraId="72BFFF5C"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2F2F2"/>
            <w:vAlign w:val="center"/>
          </w:tcPr>
          <w:p w14:paraId="4AB46C79"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4" w:type="pct"/>
            <w:shd w:val="clear" w:color="auto" w:fill="FFE599" w:themeFill="accent4" w:themeFillTint="66"/>
            <w:vAlign w:val="center"/>
          </w:tcPr>
          <w:p w14:paraId="06B24822"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36.52</w:t>
            </w:r>
          </w:p>
        </w:tc>
      </w:tr>
      <w:tr w:rsidR="006F7F66" w:rsidRPr="00E8293B" w14:paraId="1D637D70" w14:textId="77777777" w:rsidTr="00B24597">
        <w:trPr>
          <w:trHeight w:val="756"/>
        </w:trPr>
        <w:tc>
          <w:tcPr>
            <w:tcW w:w="781" w:type="pct"/>
            <w:shd w:val="clear" w:color="auto" w:fill="F2DBDB"/>
            <w:vAlign w:val="center"/>
          </w:tcPr>
          <w:p w14:paraId="301E2436"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300ns</w:t>
            </w:r>
          </w:p>
        </w:tc>
        <w:tc>
          <w:tcPr>
            <w:tcW w:w="1056" w:type="pct"/>
            <w:shd w:val="clear" w:color="auto" w:fill="F2F2F2"/>
            <w:vAlign w:val="center"/>
          </w:tcPr>
          <w:p w14:paraId="0F5FFECB" w14:textId="77777777" w:rsidR="006F7F66" w:rsidRPr="00465C73" w:rsidRDefault="006F7F66" w:rsidP="00B24597">
            <w:pPr>
              <w:spacing w:afterLines="50" w:after="120"/>
              <w:jc w:val="center"/>
              <w:rPr>
                <w:rFonts w:eastAsia="Malgun Gothic"/>
                <w:sz w:val="22"/>
                <w:lang w:eastAsia="ko-KR"/>
              </w:rPr>
            </w:pPr>
            <w:proofErr w:type="spellStart"/>
            <w:r>
              <w:rPr>
                <w:rFonts w:eastAsia="Malgun Gothic"/>
                <w:sz w:val="22"/>
                <w:lang w:eastAsia="ko-KR"/>
              </w:rPr>
              <w:t>Inf</w:t>
            </w:r>
            <w:proofErr w:type="spellEnd"/>
          </w:p>
        </w:tc>
        <w:tc>
          <w:tcPr>
            <w:tcW w:w="1055" w:type="pct"/>
            <w:shd w:val="clear" w:color="auto" w:fill="FFE599" w:themeFill="accent4" w:themeFillTint="66"/>
            <w:vAlign w:val="center"/>
          </w:tcPr>
          <w:p w14:paraId="70BE622F"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48.71</w:t>
            </w:r>
          </w:p>
        </w:tc>
        <w:tc>
          <w:tcPr>
            <w:tcW w:w="1054" w:type="pct"/>
            <w:shd w:val="clear" w:color="auto" w:fill="FFE599" w:themeFill="accent4" w:themeFillTint="66"/>
            <w:vAlign w:val="center"/>
          </w:tcPr>
          <w:p w14:paraId="52C9A29E"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27.48</w:t>
            </w:r>
          </w:p>
        </w:tc>
        <w:tc>
          <w:tcPr>
            <w:tcW w:w="1054" w:type="pct"/>
            <w:shd w:val="clear" w:color="auto" w:fill="FFE599" w:themeFill="accent4" w:themeFillTint="66"/>
            <w:vAlign w:val="center"/>
          </w:tcPr>
          <w:p w14:paraId="1C705B19"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20.72</w:t>
            </w:r>
          </w:p>
        </w:tc>
      </w:tr>
      <w:tr w:rsidR="006F7F66" w:rsidRPr="00E8293B" w14:paraId="35A496B7" w14:textId="77777777" w:rsidTr="00B24597">
        <w:trPr>
          <w:trHeight w:val="170"/>
        </w:trPr>
        <w:tc>
          <w:tcPr>
            <w:tcW w:w="781" w:type="pct"/>
            <w:shd w:val="clear" w:color="auto" w:fill="F2DBDB"/>
            <w:vAlign w:val="center"/>
          </w:tcPr>
          <w:p w14:paraId="0CD003BD"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lastRenderedPageBreak/>
              <w:t xml:space="preserve">TDL-C </w:t>
            </w:r>
            <w:r w:rsidRPr="00465C73">
              <w:rPr>
                <w:rFonts w:eastAsia="Malgun Gothic"/>
                <w:sz w:val="22"/>
                <w:lang w:eastAsia="ko-KR"/>
              </w:rPr>
              <w:t>1000ns</w:t>
            </w:r>
          </w:p>
        </w:tc>
        <w:tc>
          <w:tcPr>
            <w:tcW w:w="1056" w:type="pct"/>
            <w:shd w:val="clear" w:color="auto" w:fill="FFE599" w:themeFill="accent4" w:themeFillTint="66"/>
            <w:vAlign w:val="center"/>
          </w:tcPr>
          <w:p w14:paraId="232C192B"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30.70</w:t>
            </w:r>
          </w:p>
        </w:tc>
        <w:tc>
          <w:tcPr>
            <w:tcW w:w="1055" w:type="pct"/>
            <w:shd w:val="clear" w:color="auto" w:fill="FFE599" w:themeFill="accent4" w:themeFillTint="66"/>
            <w:vAlign w:val="center"/>
          </w:tcPr>
          <w:p w14:paraId="6DCE403D"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22.25</w:t>
            </w:r>
          </w:p>
        </w:tc>
        <w:tc>
          <w:tcPr>
            <w:tcW w:w="1054" w:type="pct"/>
            <w:shd w:val="clear" w:color="auto" w:fill="FFE599" w:themeFill="accent4" w:themeFillTint="66"/>
            <w:vAlign w:val="center"/>
          </w:tcPr>
          <w:p w14:paraId="1C835827"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17.10</w:t>
            </w:r>
          </w:p>
        </w:tc>
        <w:tc>
          <w:tcPr>
            <w:tcW w:w="1054" w:type="pct"/>
            <w:shd w:val="clear" w:color="auto" w:fill="FFE599" w:themeFill="accent4" w:themeFillTint="66"/>
            <w:vAlign w:val="center"/>
          </w:tcPr>
          <w:p w14:paraId="75D98A89"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12.19</w:t>
            </w:r>
          </w:p>
        </w:tc>
      </w:tr>
    </w:tbl>
    <w:p w14:paraId="0636C885" w14:textId="77777777" w:rsidR="006F7F66" w:rsidRPr="00630C50" w:rsidRDefault="006F7F66" w:rsidP="006F7F66">
      <w:pPr>
        <w:overflowPunct/>
        <w:autoSpaceDE/>
        <w:autoSpaceDN/>
        <w:adjustRightInd/>
        <w:spacing w:after="0"/>
        <w:ind w:left="1440"/>
        <w:textAlignment w:val="auto"/>
        <w:rPr>
          <w:b/>
          <w:color w:val="000000"/>
          <w:sz w:val="24"/>
          <w:szCs w:val="24"/>
        </w:rPr>
      </w:pPr>
      <w:r w:rsidRPr="00630C50">
        <w:rPr>
          <w:b/>
          <w:sz w:val="24"/>
          <w:szCs w:val="24"/>
        </w:rPr>
        <w:t>Table 2</w:t>
      </w:r>
      <w:r w:rsidRPr="00630C50">
        <w:rPr>
          <w:rFonts w:eastAsia="Malgun Gothic" w:hint="eastAsia"/>
          <w:b/>
          <w:sz w:val="24"/>
          <w:szCs w:val="24"/>
          <w:lang w:eastAsia="ko-KR"/>
        </w:rPr>
        <w:t xml:space="preserve">. </w:t>
      </w:r>
      <w:r w:rsidRPr="00630C50">
        <w:rPr>
          <w:rFonts w:eastAsia="Malgun Gothic"/>
          <w:b/>
          <w:sz w:val="24"/>
          <w:szCs w:val="24"/>
          <w:lang w:eastAsia="ko-KR"/>
        </w:rPr>
        <w:t>SINR Floor (dB)</w:t>
      </w:r>
      <w:r w:rsidRPr="00630C50">
        <w:rPr>
          <w:rFonts w:eastAsia="Malgun Gothic" w:hint="eastAsia"/>
          <w:b/>
          <w:sz w:val="24"/>
          <w:szCs w:val="24"/>
          <w:lang w:eastAsia="ko-KR"/>
        </w:rPr>
        <w:t xml:space="preserve"> </w:t>
      </w:r>
      <w:r w:rsidRPr="00630C50">
        <w:rPr>
          <w:rFonts w:eastAsia="Malgun Gothic"/>
          <w:b/>
          <w:sz w:val="24"/>
          <w:szCs w:val="24"/>
          <w:lang w:eastAsia="ko-KR"/>
        </w:rPr>
        <w:t xml:space="preserve">due to </w:t>
      </w:r>
      <w:r w:rsidRPr="00630C50">
        <w:rPr>
          <w:rFonts w:eastAsia="Malgun Gothic" w:hint="eastAsia"/>
          <w:b/>
          <w:sz w:val="24"/>
          <w:szCs w:val="24"/>
          <w:lang w:eastAsia="ko-KR"/>
        </w:rPr>
        <w:t xml:space="preserve">ISI for different </w:t>
      </w:r>
      <w:r>
        <w:rPr>
          <w:rFonts w:eastAsia="Malgun Gothic"/>
          <w:b/>
          <w:sz w:val="24"/>
          <w:szCs w:val="24"/>
          <w:lang w:eastAsia="ko-KR"/>
        </w:rPr>
        <w:t>numerologies shown in Table 1</w:t>
      </w:r>
    </w:p>
    <w:p w14:paraId="7EB74837" w14:textId="77777777" w:rsidR="006F7F66" w:rsidRDefault="006F7F66" w:rsidP="006F7F66">
      <w:pPr>
        <w:overflowPunct/>
        <w:autoSpaceDE/>
        <w:autoSpaceDN/>
        <w:adjustRightInd/>
        <w:spacing w:after="0"/>
        <w:jc w:val="both"/>
        <w:textAlignment w:val="auto"/>
        <w:rPr>
          <w:color w:val="000000"/>
          <w:sz w:val="24"/>
          <w:szCs w:val="27"/>
        </w:rPr>
      </w:pPr>
    </w:p>
    <w:p w14:paraId="585A6522"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 xml:space="preserve">Even though in some of the scenarios shown in Table 2, the SINR floor due to the excess delay spread beyond the CP could affect the performance at high geometries, for the control channel, such a performance degradation is not expected, since it is designed for low and medium SINR operating points. Specifically, as it shown in Figures 6 and 7, the effective SINR, after taking into account the geometry and the SINR floor, of the numerology with the 30 </w:t>
      </w:r>
      <w:proofErr w:type="spellStart"/>
      <w:r>
        <w:rPr>
          <w:color w:val="000000"/>
          <w:sz w:val="24"/>
          <w:szCs w:val="27"/>
        </w:rPr>
        <w:t>KHz</w:t>
      </w:r>
      <w:proofErr w:type="spellEnd"/>
      <w:r>
        <w:rPr>
          <w:color w:val="000000"/>
          <w:sz w:val="24"/>
          <w:szCs w:val="27"/>
        </w:rPr>
        <w:t xml:space="preserve"> SCS in a TDL-C channel with RMS delay spread of 300 </w:t>
      </w:r>
      <w:proofErr w:type="spellStart"/>
      <w:r>
        <w:rPr>
          <w:color w:val="000000"/>
          <w:sz w:val="24"/>
          <w:szCs w:val="27"/>
        </w:rPr>
        <w:t>nsec</w:t>
      </w:r>
      <w:proofErr w:type="spellEnd"/>
      <w:r>
        <w:rPr>
          <w:color w:val="000000"/>
          <w:sz w:val="24"/>
          <w:szCs w:val="27"/>
        </w:rPr>
        <w:t>, shows a degradation for geometries higher than 22 dB, which are typically higher than the operating point of the control channel. In other words, even if the geometry is larger than 22 dB, and the SINR of the control channel starts to experience a SINR ceiling, its performance is not expected to be affected significantly.</w:t>
      </w:r>
    </w:p>
    <w:p w14:paraId="1EE6ACA2" w14:textId="77777777" w:rsidR="006F7F66" w:rsidRDefault="006F7F66" w:rsidP="006F7F66">
      <w:pPr>
        <w:overflowPunct/>
        <w:autoSpaceDE/>
        <w:autoSpaceDN/>
        <w:adjustRightInd/>
        <w:spacing w:after="0"/>
        <w:jc w:val="both"/>
        <w:textAlignment w:val="auto"/>
        <w:rPr>
          <w:color w:val="000000"/>
          <w:sz w:val="24"/>
          <w:szCs w:val="27"/>
        </w:rPr>
      </w:pPr>
    </w:p>
    <w:p w14:paraId="1279902E" w14:textId="77777777" w:rsidR="006F7F66" w:rsidRDefault="006F7F66" w:rsidP="006F7F66">
      <w:pPr>
        <w:overflowPunct/>
        <w:autoSpaceDE/>
        <w:autoSpaceDN/>
        <w:adjustRightInd/>
        <w:spacing w:after="0"/>
        <w:textAlignment w:val="auto"/>
        <w:rPr>
          <w:color w:val="000000"/>
          <w:sz w:val="24"/>
          <w:szCs w:val="27"/>
        </w:rPr>
      </w:pPr>
      <w:r>
        <w:rPr>
          <w:noProof/>
          <w:color w:val="000000"/>
          <w:sz w:val="24"/>
          <w:szCs w:val="27"/>
          <w:lang w:eastAsia="zh-CN"/>
        </w:rPr>
        <w:drawing>
          <wp:anchor distT="0" distB="0" distL="114300" distR="114300" simplePos="0" relativeHeight="251661312" behindDoc="0" locked="0" layoutInCell="1" allowOverlap="1" wp14:anchorId="01184099" wp14:editId="1A72EFE5">
            <wp:simplePos x="0" y="0"/>
            <wp:positionH relativeFrom="margin">
              <wp:posOffset>3534741</wp:posOffset>
            </wp:positionH>
            <wp:positionV relativeFrom="margin">
              <wp:posOffset>2363470</wp:posOffset>
            </wp:positionV>
            <wp:extent cx="2636520" cy="15640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nalSINR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36520" cy="1564005"/>
                    </a:xfrm>
                    <a:prstGeom prst="rect">
                      <a:avLst/>
                    </a:prstGeom>
                  </pic:spPr>
                </pic:pic>
              </a:graphicData>
            </a:graphic>
            <wp14:sizeRelH relativeFrom="margin">
              <wp14:pctWidth>0</wp14:pctWidth>
            </wp14:sizeRelH>
            <wp14:sizeRelV relativeFrom="margin">
              <wp14:pctHeight>0</wp14:pctHeight>
            </wp14:sizeRelV>
          </wp:anchor>
        </w:drawing>
      </w:r>
      <w:r>
        <w:rPr>
          <w:color w:val="000000"/>
          <w:sz w:val="24"/>
          <w:szCs w:val="27"/>
        </w:rPr>
        <w:t xml:space="preserve">             </w:t>
      </w:r>
      <w:r>
        <w:rPr>
          <w:noProof/>
          <w:color w:val="000000"/>
          <w:sz w:val="24"/>
          <w:szCs w:val="27"/>
          <w:lang w:eastAsia="zh-CN"/>
        </w:rPr>
        <w:drawing>
          <wp:inline distT="0" distB="0" distL="0" distR="0" wp14:anchorId="4669F484" wp14:editId="69D64680">
            <wp:extent cx="2551814" cy="151466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alSIN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0712" cy="1537749"/>
                    </a:xfrm>
                    <a:prstGeom prst="rect">
                      <a:avLst/>
                    </a:prstGeom>
                  </pic:spPr>
                </pic:pic>
              </a:graphicData>
            </a:graphic>
          </wp:inline>
        </w:drawing>
      </w:r>
      <w:r w:rsidRPr="00C644B2">
        <w:rPr>
          <w:noProof/>
          <w:color w:val="000000"/>
          <w:sz w:val="24"/>
          <w:szCs w:val="27"/>
        </w:rPr>
        <w:t xml:space="preserve"> </w:t>
      </w:r>
    </w:p>
    <w:p w14:paraId="5C9CF992" w14:textId="77777777" w:rsidR="006F7F66" w:rsidRDefault="006F7F66" w:rsidP="006F7F66">
      <w:pPr>
        <w:overflowPunct/>
        <w:autoSpaceDE/>
        <w:autoSpaceDN/>
        <w:adjustRightInd/>
        <w:spacing w:after="0"/>
        <w:textAlignment w:val="auto"/>
        <w:rPr>
          <w:color w:val="000000"/>
          <w:sz w:val="24"/>
          <w:szCs w:val="27"/>
        </w:rPr>
      </w:pPr>
      <w:r>
        <w:rPr>
          <w:noProof/>
          <w:lang w:eastAsia="zh-CN"/>
        </w:rPr>
        <mc:AlternateContent>
          <mc:Choice Requires="wps">
            <w:drawing>
              <wp:anchor distT="0" distB="0" distL="114300" distR="114300" simplePos="0" relativeHeight="251660288" behindDoc="0" locked="0" layoutInCell="1" allowOverlap="1" wp14:anchorId="5C5B9D3A" wp14:editId="41AB9628">
                <wp:simplePos x="0" y="0"/>
                <wp:positionH relativeFrom="margin">
                  <wp:align>right</wp:align>
                </wp:positionH>
                <wp:positionV relativeFrom="paragraph">
                  <wp:posOffset>8255</wp:posOffset>
                </wp:positionV>
                <wp:extent cx="2927350" cy="71"/>
                <wp:effectExtent l="0" t="0" r="6350" b="3810"/>
                <wp:wrapNone/>
                <wp:docPr id="9" name="Text Box 9"/>
                <wp:cNvGraphicFramePr/>
                <a:graphic xmlns:a="http://schemas.openxmlformats.org/drawingml/2006/main">
                  <a:graphicData uri="http://schemas.microsoft.com/office/word/2010/wordprocessingShape">
                    <wps:wsp>
                      <wps:cNvSpPr txBox="1"/>
                      <wps:spPr>
                        <a:xfrm>
                          <a:off x="0" y="0"/>
                          <a:ext cx="2927350" cy="71"/>
                        </a:xfrm>
                        <a:prstGeom prst="rect">
                          <a:avLst/>
                        </a:prstGeom>
                        <a:solidFill>
                          <a:prstClr val="white"/>
                        </a:solidFill>
                        <a:ln>
                          <a:noFill/>
                        </a:ln>
                        <a:effectLst/>
                      </wps:spPr>
                      <wps:txbx>
                        <w:txbxContent>
                          <w:p w14:paraId="5EB75171"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7</w:t>
                            </w:r>
                            <w:r w:rsidRPr="00AF1A9A">
                              <w:rPr>
                                <w:sz w:val="18"/>
                              </w:rPr>
                              <w:t>: Effectiv</w:t>
                            </w:r>
                            <w:r>
                              <w:rPr>
                                <w:sz w:val="18"/>
                              </w:rPr>
                              <w:t>e SINR after taking into accoun</w:t>
                            </w:r>
                            <w:r w:rsidRPr="00AF1A9A">
                              <w:rPr>
                                <w:sz w:val="18"/>
                              </w:rPr>
                              <w:t>t</w:t>
                            </w:r>
                            <w:r>
                              <w:rPr>
                                <w:sz w:val="18"/>
                              </w:rPr>
                              <w:t xml:space="preserve"> </w:t>
                            </w:r>
                            <w:r w:rsidRPr="00AF1A9A">
                              <w:rPr>
                                <w:sz w:val="18"/>
                              </w:rPr>
                              <w:t>t</w:t>
                            </w:r>
                            <w:r>
                              <w:rPr>
                                <w:sz w:val="18"/>
                              </w:rPr>
                              <w:t>h</w:t>
                            </w:r>
                            <w:r w:rsidRPr="00AF1A9A">
                              <w:rPr>
                                <w:sz w:val="18"/>
                              </w:rPr>
                              <w:t xml:space="preserve">e ISI due to excessive DS beyond CP </w:t>
                            </w:r>
                            <w:r>
                              <w:rPr>
                                <w:sz w:val="18"/>
                              </w:rPr>
                              <w:t>for a TDL-C 10</w:t>
                            </w:r>
                            <w:r w:rsidRPr="00AF1A9A">
                              <w:rPr>
                                <w:sz w:val="18"/>
                              </w:rPr>
                              <w:t>00</w:t>
                            </w:r>
                            <w:r>
                              <w:rPr>
                                <w:sz w:val="18"/>
                              </w:rPr>
                              <w:t xml:space="preserve"> </w:t>
                            </w:r>
                            <w:proofErr w:type="spellStart"/>
                            <w:r>
                              <w:rPr>
                                <w:sz w:val="18"/>
                              </w:rPr>
                              <w:t>nsec</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5B9D3A" id="_x0000_t202" coordsize="21600,21600" o:spt="202" path="m,l,21600r21600,l21600,xe">
                <v:stroke joinstyle="miter"/>
                <v:path gradientshapeok="t" o:connecttype="rect"/>
              </v:shapetype>
              <v:shape id="Text Box 9" o:spid="_x0000_s1026" type="#_x0000_t202" style="position:absolute;margin-left:179.3pt;margin-top:.65pt;width:230.5pt;height:0;z-index:25166028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" stroked="f">
                <v:textbox style="mso-fit-shape-to-text:t" inset="0,0,0,0">
                  <w:txbxContent>
                    <w:p w14:paraId="5EB75171"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7</w:t>
                      </w:r>
                      <w:r w:rsidRPr="00AF1A9A">
                        <w:rPr>
                          <w:sz w:val="18"/>
                        </w:rPr>
                        <w:t>: Effectiv</w:t>
                      </w:r>
                      <w:r>
                        <w:rPr>
                          <w:sz w:val="18"/>
                        </w:rPr>
                        <w:t>e SINR after taking into accoun</w:t>
                      </w:r>
                      <w:r w:rsidRPr="00AF1A9A">
                        <w:rPr>
                          <w:sz w:val="18"/>
                        </w:rPr>
                        <w:t>t</w:t>
                      </w:r>
                      <w:r>
                        <w:rPr>
                          <w:sz w:val="18"/>
                        </w:rPr>
                        <w:t xml:space="preserve"> </w:t>
                      </w:r>
                      <w:r w:rsidRPr="00AF1A9A">
                        <w:rPr>
                          <w:sz w:val="18"/>
                        </w:rPr>
                        <w:t>t</w:t>
                      </w:r>
                      <w:r>
                        <w:rPr>
                          <w:sz w:val="18"/>
                        </w:rPr>
                        <w:t>h</w:t>
                      </w:r>
                      <w:r w:rsidRPr="00AF1A9A">
                        <w:rPr>
                          <w:sz w:val="18"/>
                        </w:rPr>
                        <w:t xml:space="preserve">e ISI due to excessive DS beyond CP </w:t>
                      </w:r>
                      <w:r>
                        <w:rPr>
                          <w:sz w:val="18"/>
                        </w:rPr>
                        <w:t>for a TDL-C 10</w:t>
                      </w:r>
                      <w:r w:rsidRPr="00AF1A9A">
                        <w:rPr>
                          <w:sz w:val="18"/>
                        </w:rPr>
                        <w:t>00</w:t>
                      </w:r>
                      <w:r>
                        <w:rPr>
                          <w:sz w:val="18"/>
                        </w:rPr>
                        <w:t xml:space="preserve"> nsec</w:t>
                      </w:r>
                    </w:p>
                  </w:txbxContent>
                </v:textbox>
                <w10:wrap anchorx="margin"/>
              </v:shape>
            </w:pict>
          </mc:Fallback>
        </mc:AlternateContent>
      </w:r>
      <w:r>
        <w:rPr>
          <w:noProof/>
          <w:lang w:eastAsia="zh-CN"/>
        </w:rPr>
        <mc:AlternateContent>
          <mc:Choice Requires="wps">
            <w:drawing>
              <wp:anchor distT="0" distB="0" distL="114300" distR="114300" simplePos="0" relativeHeight="251659264" behindDoc="0" locked="0" layoutInCell="1" allowOverlap="1" wp14:anchorId="6EAC5F6F" wp14:editId="65D61C88">
                <wp:simplePos x="0" y="0"/>
                <wp:positionH relativeFrom="margin">
                  <wp:align>left</wp:align>
                </wp:positionH>
                <wp:positionV relativeFrom="paragraph">
                  <wp:posOffset>6432</wp:posOffset>
                </wp:positionV>
                <wp:extent cx="2927350" cy="635"/>
                <wp:effectExtent l="0" t="0" r="6350" b="3810"/>
                <wp:wrapNone/>
                <wp:docPr id="8" name="Text Box 8"/>
                <wp:cNvGraphicFramePr/>
                <a:graphic xmlns:a="http://schemas.openxmlformats.org/drawingml/2006/main">
                  <a:graphicData uri="http://schemas.microsoft.com/office/word/2010/wordprocessingShape">
                    <wps:wsp>
                      <wps:cNvSpPr txBox="1"/>
                      <wps:spPr>
                        <a:xfrm>
                          <a:off x="0" y="0"/>
                          <a:ext cx="2927350" cy="635"/>
                        </a:xfrm>
                        <a:prstGeom prst="rect">
                          <a:avLst/>
                        </a:prstGeom>
                        <a:solidFill>
                          <a:prstClr val="white"/>
                        </a:solidFill>
                        <a:ln>
                          <a:noFill/>
                        </a:ln>
                        <a:effectLst/>
                      </wps:spPr>
                      <wps:txbx>
                        <w:txbxContent>
                          <w:p w14:paraId="39BC4E04"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6</w:t>
                            </w:r>
                            <w:r w:rsidRPr="00AF1A9A">
                              <w:rPr>
                                <w:sz w:val="18"/>
                              </w:rPr>
                              <w:t>: Effective SINR after taking into account t</w:t>
                            </w:r>
                            <w:r>
                              <w:rPr>
                                <w:sz w:val="18"/>
                              </w:rPr>
                              <w:t>h</w:t>
                            </w:r>
                            <w:r w:rsidRPr="00AF1A9A">
                              <w:rPr>
                                <w:sz w:val="18"/>
                              </w:rPr>
                              <w:t>e ISI due to excessive DS beyond CP for a TDL-C 300</w:t>
                            </w:r>
                            <w:r>
                              <w:rPr>
                                <w:sz w:val="18"/>
                              </w:rPr>
                              <w:t xml:space="preserve"> </w:t>
                            </w:r>
                            <w:proofErr w:type="spellStart"/>
                            <w:r>
                              <w:rPr>
                                <w:sz w:val="18"/>
                              </w:rPr>
                              <w:t>nsec</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AC5F6F" id="Text Box 8" o:spid="_x0000_s1027" type="#_x0000_t202" style="position:absolute;margin-left:0;margin-top:.5pt;width:230.5pt;height:.0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" stroked="f">
                <v:textbox style="mso-fit-shape-to-text:t" inset="0,0,0,0">
                  <w:txbxContent>
                    <w:p w14:paraId="39BC4E04"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6</w:t>
                      </w:r>
                      <w:r w:rsidRPr="00AF1A9A">
                        <w:rPr>
                          <w:sz w:val="18"/>
                        </w:rPr>
                        <w:t>: Effective SINR after taking into account t</w:t>
                      </w:r>
                      <w:r>
                        <w:rPr>
                          <w:sz w:val="18"/>
                        </w:rPr>
                        <w:t>h</w:t>
                      </w:r>
                      <w:r w:rsidRPr="00AF1A9A">
                        <w:rPr>
                          <w:sz w:val="18"/>
                        </w:rPr>
                        <w:t>e ISI due to excessive DS beyond CP for a TDL-C 300</w:t>
                      </w:r>
                      <w:r>
                        <w:rPr>
                          <w:sz w:val="18"/>
                        </w:rPr>
                        <w:t xml:space="preserve"> nsec</w:t>
                      </w:r>
                    </w:p>
                  </w:txbxContent>
                </v:textbox>
                <w10:wrap anchorx="margin"/>
              </v:shape>
            </w:pict>
          </mc:Fallback>
        </mc:AlternateContent>
      </w:r>
    </w:p>
    <w:p w14:paraId="0D1F2D1C" w14:textId="77777777" w:rsidR="006F7F66" w:rsidRDefault="006F7F66" w:rsidP="006F7F66">
      <w:pPr>
        <w:overflowPunct/>
        <w:autoSpaceDE/>
        <w:autoSpaceDN/>
        <w:adjustRightInd/>
        <w:spacing w:after="0"/>
        <w:textAlignment w:val="auto"/>
        <w:rPr>
          <w:color w:val="000000"/>
          <w:sz w:val="24"/>
          <w:szCs w:val="27"/>
        </w:rPr>
      </w:pPr>
    </w:p>
    <w:p w14:paraId="00124133" w14:textId="77777777" w:rsidR="006F7F66" w:rsidRPr="003626AA" w:rsidRDefault="006F7F66" w:rsidP="006F7F66">
      <w:pPr>
        <w:overflowPunct/>
        <w:autoSpaceDE/>
        <w:autoSpaceDN/>
        <w:adjustRightInd/>
        <w:spacing w:after="0"/>
        <w:textAlignment w:val="auto"/>
        <w:rPr>
          <w:color w:val="000000"/>
          <w:sz w:val="24"/>
          <w:szCs w:val="27"/>
        </w:rPr>
      </w:pPr>
    </w:p>
    <w:bookmarkEnd w:id="4"/>
    <w:p w14:paraId="575BF394" w14:textId="77777777" w:rsidR="006F7F66" w:rsidRPr="00040CA6" w:rsidRDefault="006F7F66" w:rsidP="006F7F66">
      <w:pPr>
        <w:jc w:val="both"/>
        <w:rPr>
          <w:sz w:val="24"/>
          <w:szCs w:val="24"/>
          <w:lang w:eastAsia="ko-KR"/>
        </w:rPr>
      </w:pPr>
      <w:r>
        <w:rPr>
          <w:sz w:val="24"/>
          <w:szCs w:val="24"/>
          <w:lang w:eastAsia="ko-KR"/>
        </w:rPr>
        <w:t xml:space="preserve">We </w:t>
      </w:r>
      <w:proofErr w:type="gramStart"/>
      <w:r>
        <w:rPr>
          <w:sz w:val="24"/>
          <w:szCs w:val="24"/>
          <w:lang w:eastAsia="ko-KR"/>
        </w:rPr>
        <w:t>now</w:t>
      </w:r>
      <w:proofErr w:type="gramEnd"/>
      <w:r>
        <w:rPr>
          <w:sz w:val="24"/>
          <w:szCs w:val="24"/>
          <w:lang w:eastAsia="ko-KR"/>
        </w:rPr>
        <w:t xml:space="preserve"> present link-level numerical results that compare the probability of ACK/NAK error in a TDL-C channel with 300 and 1000 </w:t>
      </w:r>
      <w:proofErr w:type="spellStart"/>
      <w:r>
        <w:rPr>
          <w:sz w:val="24"/>
          <w:szCs w:val="24"/>
          <w:lang w:eastAsia="ko-KR"/>
        </w:rPr>
        <w:t>nsec</w:t>
      </w:r>
      <w:proofErr w:type="spellEnd"/>
      <w:r>
        <w:rPr>
          <w:sz w:val="24"/>
          <w:szCs w:val="24"/>
          <w:lang w:eastAsia="ko-KR"/>
        </w:rPr>
        <w:t xml:space="preserve"> RMS delay spread for both options discussed above and shown in Figures 8 and 9. Note that for the channels with 300 </w:t>
      </w:r>
      <w:proofErr w:type="spellStart"/>
      <w:r>
        <w:rPr>
          <w:sz w:val="24"/>
          <w:szCs w:val="24"/>
          <w:lang w:eastAsia="ko-KR"/>
        </w:rPr>
        <w:t>nsec</w:t>
      </w:r>
      <w:proofErr w:type="spellEnd"/>
      <w:r>
        <w:rPr>
          <w:sz w:val="24"/>
          <w:szCs w:val="24"/>
          <w:lang w:eastAsia="ko-KR"/>
        </w:rPr>
        <w:t xml:space="preserve"> and 1000 </w:t>
      </w:r>
      <w:proofErr w:type="spellStart"/>
      <w:r>
        <w:rPr>
          <w:sz w:val="24"/>
          <w:szCs w:val="24"/>
          <w:lang w:eastAsia="ko-KR"/>
        </w:rPr>
        <w:t>nsec</w:t>
      </w:r>
      <w:proofErr w:type="spellEnd"/>
      <w:r>
        <w:rPr>
          <w:sz w:val="24"/>
          <w:szCs w:val="24"/>
          <w:lang w:eastAsia="ko-KR"/>
        </w:rPr>
        <w:t xml:space="preserve"> RMS delay spread, the one-symbol uplink uses 30 </w:t>
      </w:r>
      <w:proofErr w:type="spellStart"/>
      <w:r>
        <w:rPr>
          <w:sz w:val="24"/>
          <w:szCs w:val="24"/>
          <w:lang w:eastAsia="ko-KR"/>
        </w:rPr>
        <w:t>KHz</w:t>
      </w:r>
      <w:proofErr w:type="spellEnd"/>
      <w:r>
        <w:rPr>
          <w:sz w:val="24"/>
          <w:szCs w:val="24"/>
          <w:lang w:eastAsia="ko-KR"/>
        </w:rPr>
        <w:t xml:space="preserve"> SCS and 15 </w:t>
      </w:r>
      <w:proofErr w:type="spellStart"/>
      <w:r>
        <w:rPr>
          <w:sz w:val="24"/>
          <w:szCs w:val="24"/>
          <w:lang w:eastAsia="ko-KR"/>
        </w:rPr>
        <w:t>KHz</w:t>
      </w:r>
      <w:proofErr w:type="spellEnd"/>
      <w:r>
        <w:rPr>
          <w:sz w:val="24"/>
          <w:szCs w:val="24"/>
          <w:lang w:eastAsia="ko-KR"/>
        </w:rPr>
        <w:t xml:space="preserve"> SCS respectively, since this is the SCS from the scaled numerology family that would lead to a good performance in the downlink. The </w:t>
      </w:r>
      <w:r>
        <w:rPr>
          <w:sz w:val="24"/>
          <w:lang w:val="en-GB"/>
        </w:rPr>
        <w:t>scaled numerology</w:t>
      </w:r>
      <w:r>
        <w:rPr>
          <w:sz w:val="24"/>
          <w:szCs w:val="24"/>
          <w:lang w:eastAsia="ko-KR"/>
        </w:rPr>
        <w:t xml:space="preserve"> symbols use 30 </w:t>
      </w:r>
      <w:proofErr w:type="spellStart"/>
      <w:r>
        <w:rPr>
          <w:sz w:val="24"/>
          <w:szCs w:val="24"/>
          <w:lang w:eastAsia="ko-KR"/>
        </w:rPr>
        <w:t>KHz</w:t>
      </w:r>
      <w:proofErr w:type="spellEnd"/>
      <w:r>
        <w:rPr>
          <w:sz w:val="24"/>
          <w:szCs w:val="24"/>
          <w:lang w:eastAsia="ko-KR"/>
        </w:rPr>
        <w:t xml:space="preserve"> and 60 </w:t>
      </w:r>
      <w:proofErr w:type="spellStart"/>
      <w:r>
        <w:rPr>
          <w:sz w:val="24"/>
          <w:szCs w:val="24"/>
          <w:lang w:eastAsia="ko-KR"/>
        </w:rPr>
        <w:t>KHz</w:t>
      </w:r>
      <w:proofErr w:type="spellEnd"/>
      <w:r>
        <w:rPr>
          <w:sz w:val="24"/>
          <w:szCs w:val="24"/>
          <w:lang w:eastAsia="ko-KR"/>
        </w:rPr>
        <w:t xml:space="preserve"> SCS respectively in the channels with 300 </w:t>
      </w:r>
      <w:proofErr w:type="spellStart"/>
      <w:r>
        <w:rPr>
          <w:sz w:val="24"/>
          <w:szCs w:val="24"/>
          <w:lang w:eastAsia="ko-KR"/>
        </w:rPr>
        <w:t>nsec</w:t>
      </w:r>
      <w:proofErr w:type="spellEnd"/>
      <w:r>
        <w:rPr>
          <w:sz w:val="24"/>
          <w:szCs w:val="24"/>
          <w:lang w:eastAsia="ko-KR"/>
        </w:rPr>
        <w:t xml:space="preserve"> and 1000 </w:t>
      </w:r>
      <w:proofErr w:type="spellStart"/>
      <w:r>
        <w:rPr>
          <w:sz w:val="24"/>
          <w:szCs w:val="24"/>
          <w:lang w:eastAsia="ko-KR"/>
        </w:rPr>
        <w:t>nsec</w:t>
      </w:r>
      <w:proofErr w:type="spellEnd"/>
      <w:r>
        <w:rPr>
          <w:sz w:val="24"/>
          <w:szCs w:val="24"/>
          <w:lang w:eastAsia="ko-KR"/>
        </w:rPr>
        <w:t xml:space="preserve"> RMS delay spread.</w:t>
      </w:r>
    </w:p>
    <w:tbl>
      <w:tblPr>
        <w:tblStyle w:val="GridTable5Dark-Accent5"/>
        <w:tblW w:w="0" w:type="auto"/>
        <w:tblLook w:val="04A0" w:firstRow="1" w:lastRow="0" w:firstColumn="1" w:lastColumn="0" w:noHBand="0" w:noVBand="1"/>
      </w:tblPr>
      <w:tblGrid>
        <w:gridCol w:w="2925"/>
        <w:gridCol w:w="2435"/>
        <w:gridCol w:w="2301"/>
        <w:gridCol w:w="2301"/>
      </w:tblGrid>
      <w:tr w:rsidR="006F7F66" w14:paraId="05C5707C" w14:textId="77777777" w:rsidTr="00B245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D9C5B7E" w14:textId="77777777" w:rsidR="006F7F66" w:rsidRPr="00C14084" w:rsidRDefault="006F7F66" w:rsidP="00B24597">
            <w:pPr>
              <w:jc w:val="center"/>
              <w:rPr>
                <w:sz w:val="24"/>
                <w:szCs w:val="24"/>
                <w:lang w:eastAsia="ko-KR"/>
              </w:rPr>
            </w:pPr>
            <w:r w:rsidRPr="00C14084">
              <w:rPr>
                <w:sz w:val="24"/>
                <w:szCs w:val="24"/>
                <w:lang w:eastAsia="ko-KR"/>
              </w:rPr>
              <w:t>Profile</w:t>
            </w:r>
          </w:p>
        </w:tc>
        <w:tc>
          <w:tcPr>
            <w:tcW w:w="2435" w:type="dxa"/>
          </w:tcPr>
          <w:p w14:paraId="726ED95F"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 xml:space="preserve">15 </w:t>
            </w:r>
            <w:proofErr w:type="spellStart"/>
            <w:r w:rsidRPr="00C14084">
              <w:rPr>
                <w:b w:val="0"/>
                <w:sz w:val="24"/>
                <w:szCs w:val="24"/>
                <w:lang w:eastAsia="ko-KR"/>
              </w:rPr>
              <w:t>KHz</w:t>
            </w:r>
            <w:proofErr w:type="spellEnd"/>
          </w:p>
        </w:tc>
        <w:tc>
          <w:tcPr>
            <w:tcW w:w="2301" w:type="dxa"/>
          </w:tcPr>
          <w:p w14:paraId="2196013B"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 xml:space="preserve">30 </w:t>
            </w:r>
            <w:proofErr w:type="spellStart"/>
            <w:r w:rsidRPr="00C14084">
              <w:rPr>
                <w:b w:val="0"/>
                <w:sz w:val="24"/>
                <w:szCs w:val="24"/>
                <w:lang w:eastAsia="ko-KR"/>
              </w:rPr>
              <w:t>KHz</w:t>
            </w:r>
            <w:proofErr w:type="spellEnd"/>
          </w:p>
        </w:tc>
        <w:tc>
          <w:tcPr>
            <w:tcW w:w="2301" w:type="dxa"/>
          </w:tcPr>
          <w:p w14:paraId="12BA07AF"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 xml:space="preserve">60 </w:t>
            </w:r>
            <w:proofErr w:type="spellStart"/>
            <w:r w:rsidRPr="00C14084">
              <w:rPr>
                <w:b w:val="0"/>
                <w:sz w:val="24"/>
                <w:szCs w:val="24"/>
                <w:lang w:eastAsia="ko-KR"/>
              </w:rPr>
              <w:t>KHz</w:t>
            </w:r>
            <w:proofErr w:type="spellEnd"/>
          </w:p>
        </w:tc>
      </w:tr>
      <w:tr w:rsidR="006F7F66" w14:paraId="1245B7DD"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02790976" w14:textId="77777777" w:rsidR="006F7F66" w:rsidRPr="00C14084" w:rsidRDefault="006F7F66" w:rsidP="00B24597">
            <w:pPr>
              <w:jc w:val="center"/>
              <w:rPr>
                <w:b w:val="0"/>
                <w:sz w:val="24"/>
                <w:szCs w:val="24"/>
                <w:lang w:eastAsia="ko-KR"/>
              </w:rPr>
            </w:pPr>
            <w:r w:rsidRPr="00C14084">
              <w:rPr>
                <w:sz w:val="24"/>
                <w:szCs w:val="24"/>
              </w:rPr>
              <w:t>Tones spacing (kHz)</w:t>
            </w:r>
          </w:p>
        </w:tc>
        <w:tc>
          <w:tcPr>
            <w:tcW w:w="2435" w:type="dxa"/>
          </w:tcPr>
          <w:p w14:paraId="786CA11F"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15</w:t>
            </w:r>
          </w:p>
        </w:tc>
        <w:tc>
          <w:tcPr>
            <w:tcW w:w="2301" w:type="dxa"/>
          </w:tcPr>
          <w:p w14:paraId="7A6E1760"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30</w:t>
            </w:r>
          </w:p>
        </w:tc>
        <w:tc>
          <w:tcPr>
            <w:tcW w:w="2301" w:type="dxa"/>
          </w:tcPr>
          <w:p w14:paraId="6C83AB0B"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60</w:t>
            </w:r>
          </w:p>
        </w:tc>
      </w:tr>
      <w:tr w:rsidR="006F7F66" w14:paraId="2FF54B3E"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17AB5E4C" w14:textId="77777777" w:rsidR="006F7F66" w:rsidRPr="00C14084" w:rsidRDefault="006F7F66" w:rsidP="00B24597">
            <w:pPr>
              <w:jc w:val="center"/>
              <w:rPr>
                <w:b w:val="0"/>
                <w:sz w:val="24"/>
                <w:szCs w:val="24"/>
                <w:u w:val="single"/>
                <w:lang w:eastAsia="ko-KR"/>
              </w:rPr>
            </w:pPr>
            <w:proofErr w:type="spellStart"/>
            <w:r w:rsidRPr="00C14084">
              <w:rPr>
                <w:sz w:val="24"/>
                <w:szCs w:val="24"/>
              </w:rPr>
              <w:t>FFTSize</w:t>
            </w:r>
            <w:proofErr w:type="spellEnd"/>
          </w:p>
        </w:tc>
        <w:tc>
          <w:tcPr>
            <w:tcW w:w="2435" w:type="dxa"/>
          </w:tcPr>
          <w:p w14:paraId="244D4840"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2048</w:t>
            </w:r>
          </w:p>
        </w:tc>
        <w:tc>
          <w:tcPr>
            <w:tcW w:w="2301" w:type="dxa"/>
          </w:tcPr>
          <w:p w14:paraId="43D99365"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1024</w:t>
            </w:r>
          </w:p>
        </w:tc>
        <w:tc>
          <w:tcPr>
            <w:tcW w:w="2301" w:type="dxa"/>
          </w:tcPr>
          <w:p w14:paraId="0CF862DC"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512</w:t>
            </w:r>
          </w:p>
        </w:tc>
      </w:tr>
      <w:tr w:rsidR="006F7F66" w14:paraId="7129C8E5"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05461A3" w14:textId="77777777" w:rsidR="006F7F66" w:rsidRPr="00C14084" w:rsidRDefault="006F7F66" w:rsidP="00B24597">
            <w:pPr>
              <w:jc w:val="center"/>
              <w:rPr>
                <w:b w:val="0"/>
                <w:sz w:val="24"/>
                <w:szCs w:val="24"/>
                <w:u w:val="single"/>
                <w:lang w:eastAsia="ko-KR"/>
              </w:rPr>
            </w:pPr>
            <w:r w:rsidRPr="00C14084">
              <w:rPr>
                <w:sz w:val="24"/>
                <w:szCs w:val="24"/>
              </w:rPr>
              <w:t>CP (us)</w:t>
            </w:r>
          </w:p>
        </w:tc>
        <w:tc>
          <w:tcPr>
            <w:tcW w:w="2435" w:type="dxa"/>
          </w:tcPr>
          <w:p w14:paraId="70329B6E"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4.6875</w:t>
            </w:r>
          </w:p>
        </w:tc>
        <w:tc>
          <w:tcPr>
            <w:tcW w:w="2301" w:type="dxa"/>
          </w:tcPr>
          <w:p w14:paraId="6081B67B"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2.3437</w:t>
            </w:r>
          </w:p>
        </w:tc>
        <w:tc>
          <w:tcPr>
            <w:tcW w:w="2301" w:type="dxa"/>
          </w:tcPr>
          <w:p w14:paraId="6B427FB2"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1.1719</w:t>
            </w:r>
          </w:p>
        </w:tc>
      </w:tr>
      <w:tr w:rsidR="006F7F66" w14:paraId="1C344BCF"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6B0CF57F" w14:textId="77777777" w:rsidR="006F7F66" w:rsidRPr="00C14084" w:rsidRDefault="006F7F66" w:rsidP="00B24597">
            <w:pPr>
              <w:jc w:val="center"/>
              <w:rPr>
                <w:sz w:val="24"/>
                <w:szCs w:val="24"/>
              </w:rPr>
            </w:pPr>
            <w:r w:rsidRPr="00C14084">
              <w:rPr>
                <w:sz w:val="24"/>
                <w:szCs w:val="24"/>
              </w:rPr>
              <w:t xml:space="preserve">Number </w:t>
            </w:r>
            <w:proofErr w:type="spellStart"/>
            <w:proofErr w:type="gramStart"/>
            <w:r>
              <w:rPr>
                <w:sz w:val="24"/>
                <w:szCs w:val="24"/>
              </w:rPr>
              <w:t>gNB</w:t>
            </w:r>
            <w:r w:rsidRPr="00C14084">
              <w:rPr>
                <w:sz w:val="24"/>
                <w:szCs w:val="24"/>
              </w:rPr>
              <w:t>’s</w:t>
            </w:r>
            <w:proofErr w:type="spellEnd"/>
            <w:r w:rsidRPr="00C14084">
              <w:rPr>
                <w:sz w:val="24"/>
                <w:szCs w:val="24"/>
              </w:rPr>
              <w:t xml:space="preserve">  antennas</w:t>
            </w:r>
            <w:proofErr w:type="gramEnd"/>
          </w:p>
        </w:tc>
        <w:tc>
          <w:tcPr>
            <w:tcW w:w="7037" w:type="dxa"/>
            <w:gridSpan w:val="3"/>
          </w:tcPr>
          <w:p w14:paraId="6B32F029"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4</w:t>
            </w:r>
          </w:p>
        </w:tc>
      </w:tr>
      <w:tr w:rsidR="006F7F66" w14:paraId="6A98FDD5" w14:textId="77777777" w:rsidTr="00B24597">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2925" w:type="dxa"/>
          </w:tcPr>
          <w:p w14:paraId="1D4D01DE" w14:textId="77777777" w:rsidR="006F7F66" w:rsidRPr="00C14084" w:rsidRDefault="006F7F66" w:rsidP="00B24597">
            <w:pPr>
              <w:jc w:val="center"/>
              <w:rPr>
                <w:sz w:val="24"/>
                <w:szCs w:val="24"/>
              </w:rPr>
            </w:pPr>
            <w:r w:rsidRPr="00C14084">
              <w:rPr>
                <w:sz w:val="24"/>
                <w:szCs w:val="24"/>
              </w:rPr>
              <w:t>Number UE’s antennas</w:t>
            </w:r>
          </w:p>
        </w:tc>
        <w:tc>
          <w:tcPr>
            <w:tcW w:w="7037" w:type="dxa"/>
            <w:gridSpan w:val="3"/>
          </w:tcPr>
          <w:p w14:paraId="2E4D67EF"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w:t>
            </w:r>
          </w:p>
        </w:tc>
      </w:tr>
      <w:tr w:rsidR="006F7F66" w14:paraId="3E69D771"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0A4ED58F" w14:textId="77777777" w:rsidR="006F7F66" w:rsidRPr="00C14084" w:rsidRDefault="006F7F66" w:rsidP="00B24597">
            <w:pPr>
              <w:jc w:val="center"/>
              <w:rPr>
                <w:b w:val="0"/>
                <w:sz w:val="24"/>
                <w:szCs w:val="24"/>
                <w:u w:val="single"/>
                <w:lang w:eastAsia="ko-KR"/>
              </w:rPr>
            </w:pPr>
            <w:proofErr w:type="spellStart"/>
            <w:r w:rsidRPr="00C14084">
              <w:rPr>
                <w:sz w:val="24"/>
                <w:szCs w:val="24"/>
              </w:rPr>
              <w:t>Subframe</w:t>
            </w:r>
            <w:proofErr w:type="spellEnd"/>
            <w:r w:rsidRPr="00C14084">
              <w:rPr>
                <w:sz w:val="24"/>
                <w:szCs w:val="24"/>
              </w:rPr>
              <w:t xml:space="preserve"> duration</w:t>
            </w:r>
          </w:p>
        </w:tc>
        <w:tc>
          <w:tcPr>
            <w:tcW w:w="7037" w:type="dxa"/>
            <w:gridSpan w:val="3"/>
          </w:tcPr>
          <w:p w14:paraId="0D63881F"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 xml:space="preserve">500 </w:t>
            </w:r>
            <w:proofErr w:type="spellStart"/>
            <w:r w:rsidRPr="00C14084">
              <w:rPr>
                <w:sz w:val="24"/>
                <w:szCs w:val="24"/>
                <w:lang w:eastAsia="ko-KR"/>
              </w:rPr>
              <w:t>usec</w:t>
            </w:r>
            <w:proofErr w:type="spellEnd"/>
          </w:p>
        </w:tc>
      </w:tr>
      <w:tr w:rsidR="006F7F66" w14:paraId="4BEB94BB"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D7ADD25" w14:textId="77777777" w:rsidR="006F7F66" w:rsidRPr="00C14084" w:rsidRDefault="006F7F66" w:rsidP="00B24597">
            <w:pPr>
              <w:jc w:val="center"/>
              <w:rPr>
                <w:sz w:val="24"/>
                <w:szCs w:val="24"/>
              </w:rPr>
            </w:pPr>
            <w:r w:rsidRPr="00C14084">
              <w:rPr>
                <w:sz w:val="24"/>
                <w:szCs w:val="24"/>
              </w:rPr>
              <w:t>Channel Model</w:t>
            </w:r>
          </w:p>
        </w:tc>
        <w:tc>
          <w:tcPr>
            <w:tcW w:w="7037" w:type="dxa"/>
            <w:gridSpan w:val="3"/>
          </w:tcPr>
          <w:p w14:paraId="6D82BF23"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TDL-C (DS: 300 and 1000 ns)</w:t>
            </w:r>
          </w:p>
        </w:tc>
      </w:tr>
      <w:tr w:rsidR="006F7F66" w14:paraId="0AC74366"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27B59CE2" w14:textId="77777777" w:rsidR="006F7F66" w:rsidRPr="00C14084" w:rsidRDefault="006F7F66" w:rsidP="00B24597">
            <w:pPr>
              <w:jc w:val="center"/>
              <w:rPr>
                <w:sz w:val="24"/>
                <w:szCs w:val="24"/>
              </w:rPr>
            </w:pPr>
            <w:r w:rsidRPr="00C14084">
              <w:rPr>
                <w:sz w:val="24"/>
                <w:szCs w:val="24"/>
              </w:rPr>
              <w:t>Doppler</w:t>
            </w:r>
          </w:p>
        </w:tc>
        <w:tc>
          <w:tcPr>
            <w:tcW w:w="7037" w:type="dxa"/>
            <w:gridSpan w:val="3"/>
          </w:tcPr>
          <w:p w14:paraId="7D50407F"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 Hz</w:t>
            </w:r>
          </w:p>
        </w:tc>
      </w:tr>
    </w:tbl>
    <w:p w14:paraId="19714BE4" w14:textId="77777777" w:rsidR="006F7F66" w:rsidRPr="00342770" w:rsidRDefault="006F7F66" w:rsidP="006F7F66">
      <w:pPr>
        <w:rPr>
          <w:b/>
          <w:sz w:val="22"/>
          <w:u w:val="single"/>
          <w:lang w:eastAsia="ko-KR"/>
        </w:rPr>
      </w:pPr>
      <w:r>
        <w:rPr>
          <w:b/>
          <w:sz w:val="22"/>
        </w:rPr>
        <w:lastRenderedPageBreak/>
        <w:t>Table 3</w:t>
      </w:r>
      <w:r w:rsidRPr="00342770">
        <w:rPr>
          <w:b/>
          <w:sz w:val="22"/>
        </w:rPr>
        <w:t xml:space="preserve">: Main link-level simulation parameters </w:t>
      </w:r>
      <w:r>
        <w:rPr>
          <w:b/>
          <w:sz w:val="22"/>
        </w:rPr>
        <w:t>for comparing the one symbol vs. scaled numerology uplink ACK/NAK performance</w:t>
      </w:r>
    </w:p>
    <w:p w14:paraId="2A792745" w14:textId="77777777" w:rsidR="006F7F66" w:rsidRDefault="006F7F66" w:rsidP="006F7F66">
      <w:pPr>
        <w:keepNext/>
        <w:jc w:val="center"/>
      </w:pPr>
      <w:r>
        <w:rPr>
          <w:noProof/>
          <w:color w:val="000000"/>
          <w:sz w:val="24"/>
          <w:szCs w:val="27"/>
          <w:lang w:eastAsia="zh-CN"/>
        </w:rPr>
        <w:drawing>
          <wp:inline distT="0" distB="0" distL="0" distR="0" wp14:anchorId="62118D4F" wp14:editId="5666EBDC">
            <wp:extent cx="2758440" cy="172278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C300_0WUPContribution.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58440" cy="1722781"/>
                    </a:xfrm>
                    <a:prstGeom prst="rect">
                      <a:avLst/>
                    </a:prstGeom>
                  </pic:spPr>
                </pic:pic>
              </a:graphicData>
            </a:graphic>
          </wp:inline>
        </w:drawing>
      </w:r>
      <w:r>
        <w:rPr>
          <w:b/>
          <w:noProof/>
        </w:rPr>
        <w:t xml:space="preserve">       </w:t>
      </w:r>
      <w:r w:rsidRPr="00A174B5">
        <w:rPr>
          <w:b/>
          <w:noProof/>
          <w:lang w:eastAsia="zh-CN"/>
        </w:rPr>
        <w:drawing>
          <wp:inline distT="0" distB="0" distL="0" distR="0" wp14:anchorId="457340CC" wp14:editId="71899ED5">
            <wp:extent cx="2687004" cy="1678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C1000_0WUPContributio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11033" cy="1693172"/>
                    </a:xfrm>
                    <a:prstGeom prst="rect">
                      <a:avLst/>
                    </a:prstGeom>
                  </pic:spPr>
                </pic:pic>
              </a:graphicData>
            </a:graphic>
          </wp:inline>
        </w:drawing>
      </w:r>
    </w:p>
    <w:p w14:paraId="04E459D0" w14:textId="77777777" w:rsidR="006F7F66" w:rsidRPr="00067C0E" w:rsidRDefault="006F7F66" w:rsidP="006F7F66">
      <w:pPr>
        <w:pStyle w:val="Caption"/>
        <w:jc w:val="center"/>
      </w:pPr>
      <w:r>
        <w:t xml:space="preserve">Figure 8: TDL-C 300 </w:t>
      </w:r>
      <w:proofErr w:type="spellStart"/>
      <w:r>
        <w:t>nsec</w:t>
      </w:r>
      <w:proofErr w:type="spellEnd"/>
      <w:r>
        <w:t xml:space="preserve"> RMS DS </w:t>
      </w:r>
      <w:r>
        <w:tab/>
      </w:r>
      <w:r>
        <w:tab/>
      </w:r>
      <w:r>
        <w:tab/>
      </w:r>
      <w:r>
        <w:tab/>
      </w:r>
      <w:r>
        <w:tab/>
      </w:r>
      <w:r>
        <w:tab/>
      </w:r>
      <w:r>
        <w:tab/>
        <w:t xml:space="preserve">Figure 9: TDL-C 1000 </w:t>
      </w:r>
      <w:proofErr w:type="spellStart"/>
      <w:r>
        <w:t>nsec</w:t>
      </w:r>
      <w:proofErr w:type="spellEnd"/>
      <w:r>
        <w:t xml:space="preserve"> RMS DS</w:t>
      </w:r>
    </w:p>
    <w:p w14:paraId="47562893" w14:textId="77777777" w:rsidR="006F7F66" w:rsidRDefault="006F7F66" w:rsidP="006F7F66">
      <w:pPr>
        <w:jc w:val="both"/>
        <w:rPr>
          <w:sz w:val="24"/>
          <w:szCs w:val="24"/>
          <w:lang w:eastAsia="ko-KR"/>
        </w:rPr>
      </w:pPr>
      <w:r>
        <w:rPr>
          <w:b/>
          <w:sz w:val="24"/>
          <w:szCs w:val="24"/>
          <w:u w:val="single"/>
          <w:lang w:eastAsia="ko-KR"/>
        </w:rPr>
        <w:t>Observation 2</w:t>
      </w:r>
      <w:r w:rsidRPr="00561AB9">
        <w:rPr>
          <w:b/>
          <w:sz w:val="24"/>
          <w:szCs w:val="24"/>
          <w:u w:val="single"/>
          <w:lang w:eastAsia="ko-KR"/>
        </w:rPr>
        <w:t>:</w:t>
      </w:r>
      <w:r w:rsidRPr="00561AB9">
        <w:rPr>
          <w:noProof/>
          <w:sz w:val="24"/>
          <w:szCs w:val="24"/>
        </w:rPr>
        <w:t xml:space="preserve"> </w:t>
      </w:r>
      <w:r>
        <w:rPr>
          <w:noProof/>
          <w:sz w:val="24"/>
          <w:szCs w:val="24"/>
        </w:rPr>
        <w:t xml:space="preserve">Two scaled numerology </w:t>
      </w:r>
      <w:r w:rsidRPr="00561AB9">
        <w:rPr>
          <w:noProof/>
          <w:sz w:val="24"/>
          <w:szCs w:val="24"/>
        </w:rPr>
        <w:t>symbol</w:t>
      </w:r>
      <w:r>
        <w:rPr>
          <w:noProof/>
          <w:sz w:val="24"/>
          <w:szCs w:val="24"/>
        </w:rPr>
        <w:t>s</w:t>
      </w:r>
      <w:r w:rsidRPr="00561AB9">
        <w:rPr>
          <w:noProof/>
          <w:sz w:val="24"/>
          <w:szCs w:val="24"/>
        </w:rPr>
        <w:t xml:space="preserve"> </w:t>
      </w:r>
      <w:r>
        <w:rPr>
          <w:noProof/>
          <w:sz w:val="24"/>
          <w:szCs w:val="24"/>
        </w:rPr>
        <w:t xml:space="preserve">carrying </w:t>
      </w:r>
      <w:r w:rsidRPr="00561AB9">
        <w:rPr>
          <w:noProof/>
          <w:sz w:val="24"/>
          <w:szCs w:val="24"/>
        </w:rPr>
        <w:t>ACK</w:t>
      </w:r>
      <w:r>
        <w:rPr>
          <w:noProof/>
          <w:sz w:val="24"/>
          <w:szCs w:val="24"/>
        </w:rPr>
        <w:t>/NAK</w:t>
      </w:r>
      <w:r w:rsidRPr="00561AB9">
        <w:rPr>
          <w:noProof/>
          <w:sz w:val="24"/>
          <w:szCs w:val="24"/>
        </w:rPr>
        <w:t xml:space="preserve"> </w:t>
      </w:r>
      <w:r>
        <w:rPr>
          <w:noProof/>
          <w:sz w:val="24"/>
          <w:szCs w:val="24"/>
        </w:rPr>
        <w:t xml:space="preserve">(or could be SR bit for UL channel) </w:t>
      </w:r>
      <w:r w:rsidRPr="00561AB9">
        <w:rPr>
          <w:noProof/>
          <w:sz w:val="24"/>
          <w:szCs w:val="24"/>
        </w:rPr>
        <w:t>is not expected to experience a performance loss compared to the one symbol ACK</w:t>
      </w:r>
      <w:r>
        <w:rPr>
          <w:noProof/>
          <w:sz w:val="24"/>
          <w:szCs w:val="24"/>
        </w:rPr>
        <w:t>/NAK</w:t>
      </w:r>
      <w:r w:rsidRPr="00561AB9">
        <w:rPr>
          <w:noProof/>
          <w:sz w:val="24"/>
          <w:szCs w:val="24"/>
        </w:rPr>
        <w:t xml:space="preserve"> option in many deployment scenarios of interest due to the </w:t>
      </w:r>
      <w:r>
        <w:rPr>
          <w:noProof/>
          <w:sz w:val="24"/>
          <w:szCs w:val="24"/>
        </w:rPr>
        <w:t>low</w:t>
      </w:r>
      <w:r w:rsidRPr="00561AB9">
        <w:rPr>
          <w:noProof/>
          <w:sz w:val="24"/>
          <w:szCs w:val="24"/>
        </w:rPr>
        <w:t xml:space="preserve"> operating SINR point of the uplink control channel.</w:t>
      </w:r>
    </w:p>
    <w:p w14:paraId="4F5F6917" w14:textId="77777777" w:rsidR="006F7F66" w:rsidRDefault="006F7F66" w:rsidP="006F7F66">
      <w:pPr>
        <w:pStyle w:val="Heading1"/>
      </w:pPr>
      <w:bookmarkStart w:id="5" w:name="_Ref378529477"/>
      <w:r>
        <w:t>Complexity considerations for scaled numerology control</w:t>
      </w:r>
    </w:p>
    <w:p w14:paraId="1A4F8175" w14:textId="77777777" w:rsidR="006F7F66" w:rsidRPr="005B15D2" w:rsidRDefault="006F7F66" w:rsidP="006F7F66">
      <w:pPr>
        <w:jc w:val="both"/>
        <w:rPr>
          <w:sz w:val="24"/>
          <w:szCs w:val="24"/>
          <w:lang w:val="en-GB"/>
        </w:rPr>
      </w:pPr>
      <w:r>
        <w:rPr>
          <w:sz w:val="24"/>
          <w:szCs w:val="24"/>
          <w:lang w:val="en-GB"/>
        </w:rPr>
        <w:t>Scaled numerology for control has several benefits related to hardware complexity. Specifically, supporting a power of two scaling entails simplifications to the FFT operation, since whenever the subcarrier spacing doubles the FFT size halves. Having to perform two smaller FFT/IFFT operations allows for certain processing to start earlier in time instead of waiting until the full non-scaled OFDM symbol to be received/formed, which substantially improves UE/</w:t>
      </w:r>
      <w:proofErr w:type="spellStart"/>
      <w:r>
        <w:rPr>
          <w:sz w:val="24"/>
          <w:szCs w:val="24"/>
          <w:lang w:val="en-GB"/>
        </w:rPr>
        <w:t>gNB</w:t>
      </w:r>
      <w:proofErr w:type="spellEnd"/>
      <w:r>
        <w:rPr>
          <w:sz w:val="24"/>
          <w:szCs w:val="24"/>
          <w:lang w:val="en-GB"/>
        </w:rPr>
        <w:t xml:space="preserve"> pipelining.</w:t>
      </w:r>
    </w:p>
    <w:p w14:paraId="772620C5" w14:textId="77777777" w:rsidR="006F7F66" w:rsidRDefault="006F7F66" w:rsidP="006F7F66">
      <w:pPr>
        <w:pStyle w:val="Heading1"/>
      </w:pPr>
      <w:r>
        <w:t>C</w:t>
      </w:r>
      <w:r w:rsidRPr="00183CB7">
        <w:t>onclusions</w:t>
      </w:r>
    </w:p>
    <w:bookmarkEnd w:id="5"/>
    <w:p w14:paraId="0CC41969" w14:textId="77777777" w:rsidR="006F7F66" w:rsidRDefault="006F7F66" w:rsidP="006F7F66">
      <w:pPr>
        <w:rPr>
          <w:noProof/>
          <w:sz w:val="24"/>
        </w:rPr>
      </w:pPr>
      <w:r>
        <w:rPr>
          <w:noProof/>
          <w:sz w:val="24"/>
        </w:rPr>
        <w:t xml:space="preserve">In summary, we observe: </w:t>
      </w:r>
    </w:p>
    <w:p w14:paraId="5A0F7DBA" w14:textId="77777777" w:rsidR="006F7F66" w:rsidRDefault="006F7F66" w:rsidP="006F7F66">
      <w:pPr>
        <w:jc w:val="both"/>
        <w:rPr>
          <w:noProof/>
          <w:sz w:val="24"/>
          <w:szCs w:val="24"/>
        </w:rPr>
      </w:pPr>
      <w:r>
        <w:rPr>
          <w:b/>
          <w:sz w:val="24"/>
          <w:szCs w:val="24"/>
          <w:u w:val="single"/>
          <w:lang w:eastAsia="ko-KR"/>
        </w:rPr>
        <w:t>Observation 1</w:t>
      </w:r>
      <w:r w:rsidRPr="00561AB9">
        <w:rPr>
          <w:b/>
          <w:sz w:val="24"/>
          <w:szCs w:val="24"/>
          <w:u w:val="single"/>
          <w:lang w:eastAsia="ko-KR"/>
        </w:rPr>
        <w:t>:</w:t>
      </w:r>
      <w:r>
        <w:rPr>
          <w:noProof/>
          <w:sz w:val="24"/>
          <w:szCs w:val="24"/>
        </w:rPr>
        <w:t xml:space="preserve"> A scaled numerology </w:t>
      </w:r>
      <w:r w:rsidRPr="00561AB9">
        <w:rPr>
          <w:noProof/>
          <w:sz w:val="24"/>
          <w:szCs w:val="24"/>
        </w:rPr>
        <w:t>uplink control channel could provide a more efficient UE-turnaroun</w:t>
      </w:r>
      <w:r>
        <w:rPr>
          <w:noProof/>
          <w:sz w:val="24"/>
          <w:szCs w:val="24"/>
        </w:rPr>
        <w:t>d</w:t>
      </w:r>
      <w:r w:rsidRPr="00561AB9">
        <w:rPr>
          <w:noProof/>
          <w:sz w:val="24"/>
          <w:szCs w:val="24"/>
        </w:rPr>
        <w:t xml:space="preserve"> and enable </w:t>
      </w:r>
      <w:r>
        <w:rPr>
          <w:noProof/>
          <w:sz w:val="24"/>
          <w:szCs w:val="24"/>
        </w:rPr>
        <w:t>URLLC service</w:t>
      </w:r>
      <w:r w:rsidRPr="00561AB9">
        <w:rPr>
          <w:noProof/>
          <w:sz w:val="24"/>
          <w:szCs w:val="24"/>
        </w:rPr>
        <w:t>.</w:t>
      </w:r>
    </w:p>
    <w:p w14:paraId="1F572555" w14:textId="77777777" w:rsidR="006F7F66" w:rsidRDefault="006F7F66" w:rsidP="006F7F66">
      <w:pPr>
        <w:jc w:val="both"/>
        <w:rPr>
          <w:sz w:val="24"/>
          <w:szCs w:val="24"/>
          <w:lang w:eastAsia="ko-KR"/>
        </w:rPr>
      </w:pPr>
      <w:r>
        <w:rPr>
          <w:b/>
          <w:sz w:val="24"/>
          <w:szCs w:val="24"/>
          <w:u w:val="single"/>
          <w:lang w:eastAsia="ko-KR"/>
        </w:rPr>
        <w:t>Observation 2</w:t>
      </w:r>
      <w:r w:rsidRPr="00561AB9">
        <w:rPr>
          <w:b/>
          <w:sz w:val="24"/>
          <w:szCs w:val="24"/>
          <w:u w:val="single"/>
          <w:lang w:eastAsia="ko-KR"/>
        </w:rPr>
        <w:t>:</w:t>
      </w:r>
      <w:r w:rsidRPr="00561AB9">
        <w:rPr>
          <w:noProof/>
          <w:sz w:val="24"/>
          <w:szCs w:val="24"/>
        </w:rPr>
        <w:t xml:space="preserve"> </w:t>
      </w:r>
      <w:r>
        <w:rPr>
          <w:noProof/>
          <w:sz w:val="24"/>
          <w:szCs w:val="24"/>
        </w:rPr>
        <w:t xml:space="preserve">Two scaled numerology </w:t>
      </w:r>
      <w:r w:rsidRPr="00561AB9">
        <w:rPr>
          <w:noProof/>
          <w:sz w:val="24"/>
          <w:szCs w:val="24"/>
        </w:rPr>
        <w:t>symbol</w:t>
      </w:r>
      <w:r>
        <w:rPr>
          <w:noProof/>
          <w:sz w:val="24"/>
          <w:szCs w:val="24"/>
        </w:rPr>
        <w:t>s</w:t>
      </w:r>
      <w:r w:rsidRPr="00561AB9">
        <w:rPr>
          <w:noProof/>
          <w:sz w:val="24"/>
          <w:szCs w:val="24"/>
        </w:rPr>
        <w:t xml:space="preserve"> </w:t>
      </w:r>
      <w:r>
        <w:rPr>
          <w:noProof/>
          <w:sz w:val="24"/>
          <w:szCs w:val="24"/>
        </w:rPr>
        <w:t xml:space="preserve">carrying </w:t>
      </w:r>
      <w:r w:rsidRPr="00561AB9">
        <w:rPr>
          <w:noProof/>
          <w:sz w:val="24"/>
          <w:szCs w:val="24"/>
        </w:rPr>
        <w:t>ACK</w:t>
      </w:r>
      <w:r>
        <w:rPr>
          <w:noProof/>
          <w:sz w:val="24"/>
          <w:szCs w:val="24"/>
        </w:rPr>
        <w:t>/NAK</w:t>
      </w:r>
      <w:r w:rsidRPr="00561AB9">
        <w:rPr>
          <w:noProof/>
          <w:sz w:val="24"/>
          <w:szCs w:val="24"/>
        </w:rPr>
        <w:t xml:space="preserve"> </w:t>
      </w:r>
      <w:r>
        <w:rPr>
          <w:noProof/>
          <w:sz w:val="24"/>
          <w:szCs w:val="24"/>
        </w:rPr>
        <w:t xml:space="preserve">(or could be SR bit for UL channel) </w:t>
      </w:r>
      <w:r w:rsidRPr="00561AB9">
        <w:rPr>
          <w:noProof/>
          <w:sz w:val="24"/>
          <w:szCs w:val="24"/>
        </w:rPr>
        <w:t>is not expected to experience a performance loss compared to the one symbol ACK</w:t>
      </w:r>
      <w:r>
        <w:rPr>
          <w:noProof/>
          <w:sz w:val="24"/>
          <w:szCs w:val="24"/>
        </w:rPr>
        <w:t>/NAK</w:t>
      </w:r>
      <w:r w:rsidRPr="00561AB9">
        <w:rPr>
          <w:noProof/>
          <w:sz w:val="24"/>
          <w:szCs w:val="24"/>
        </w:rPr>
        <w:t xml:space="preserve"> option in many deployment scenarios of interest due to the </w:t>
      </w:r>
      <w:r>
        <w:rPr>
          <w:noProof/>
          <w:sz w:val="24"/>
          <w:szCs w:val="24"/>
        </w:rPr>
        <w:t>low</w:t>
      </w:r>
      <w:r w:rsidRPr="00561AB9">
        <w:rPr>
          <w:noProof/>
          <w:sz w:val="24"/>
          <w:szCs w:val="24"/>
        </w:rPr>
        <w:t xml:space="preserve"> operating SINR point of the uplink control channel.</w:t>
      </w:r>
    </w:p>
    <w:p w14:paraId="6D4002C5" w14:textId="77777777" w:rsidR="006F7F66" w:rsidRPr="00CC55D6" w:rsidRDefault="006F7F66" w:rsidP="006F7F66">
      <w:pPr>
        <w:rPr>
          <w:noProof/>
          <w:sz w:val="24"/>
        </w:rPr>
      </w:pPr>
      <w:r>
        <w:rPr>
          <w:noProof/>
          <w:sz w:val="24"/>
        </w:rPr>
        <w:t>We propose:</w:t>
      </w:r>
    </w:p>
    <w:p w14:paraId="4BB7380D" w14:textId="77777777" w:rsidR="006F7F66" w:rsidRPr="00561AB9" w:rsidRDefault="006F7F66" w:rsidP="006F7F66">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Pr>
          <w:sz w:val="24"/>
          <w:szCs w:val="24"/>
        </w:rPr>
        <w:t xml:space="preserve"> at least for URLLC.</w:t>
      </w:r>
    </w:p>
    <w:p w14:paraId="4EEE278F" w14:textId="77777777" w:rsidR="006F7F66" w:rsidRDefault="006F7F66" w:rsidP="006F7F66">
      <w:pPr>
        <w:rPr>
          <w:noProof/>
          <w:sz w:val="24"/>
        </w:rPr>
      </w:pPr>
    </w:p>
    <w:p w14:paraId="217074D0" w14:textId="77777777" w:rsidR="006F7F66" w:rsidRPr="000A64D8" w:rsidRDefault="006F7F66" w:rsidP="006F7F66">
      <w:pPr>
        <w:pStyle w:val="Heading1"/>
        <w:numPr>
          <w:ilvl w:val="0"/>
          <w:numId w:val="0"/>
        </w:numPr>
        <w:ind w:left="432" w:hanging="432"/>
        <w:rPr>
          <w:lang w:val="en-US"/>
        </w:rPr>
      </w:pPr>
      <w:r w:rsidRPr="000A64D8">
        <w:rPr>
          <w:lang w:val="en-US"/>
        </w:rPr>
        <w:lastRenderedPageBreak/>
        <w:t>References</w:t>
      </w:r>
    </w:p>
    <w:p w14:paraId="723E1D8F" w14:textId="77777777" w:rsidR="006F7F66" w:rsidRPr="005C0AB2" w:rsidRDefault="006F7F66" w:rsidP="006F7F66">
      <w:pPr>
        <w:numPr>
          <w:ilvl w:val="0"/>
          <w:numId w:val="2"/>
        </w:numPr>
        <w:spacing w:before="100" w:beforeAutospacing="1" w:after="100" w:afterAutospacing="1"/>
        <w:rPr>
          <w:sz w:val="24"/>
        </w:rPr>
      </w:pPr>
      <w:r>
        <w:rPr>
          <w:sz w:val="24"/>
        </w:rPr>
        <w:t>R1-050656 “</w:t>
      </w:r>
      <w:r w:rsidRPr="005C0AB2">
        <w:rPr>
          <w:sz w:val="24"/>
        </w:rPr>
        <w:t>Parameters for E-UTRA Simulcast</w:t>
      </w:r>
      <w:r>
        <w:rPr>
          <w:sz w:val="24"/>
        </w:rPr>
        <w:t xml:space="preserve">” </w:t>
      </w:r>
      <w:r w:rsidRPr="005C0AB2">
        <w:rPr>
          <w:sz w:val="24"/>
        </w:rPr>
        <w:t>3GPP TSG-RAN WG1 LTE Ad Hoc, Sophia Antipolis, France</w:t>
      </w:r>
    </w:p>
    <w:p w14:paraId="5400FA86" w14:textId="77777777" w:rsidR="006F7F66" w:rsidRPr="00E476A2" w:rsidRDefault="006F7F66" w:rsidP="006F7F66">
      <w:pPr>
        <w:numPr>
          <w:ilvl w:val="0"/>
          <w:numId w:val="2"/>
        </w:numPr>
        <w:spacing w:before="100" w:beforeAutospacing="1" w:after="100" w:afterAutospacing="1"/>
        <w:rPr>
          <w:sz w:val="24"/>
        </w:rPr>
      </w:pPr>
      <w:r>
        <w:rPr>
          <w:sz w:val="24"/>
        </w:rPr>
        <w:t>R1-166362 “</w:t>
      </w:r>
      <w:r w:rsidRPr="00E476A2">
        <w:rPr>
          <w:sz w:val="24"/>
        </w:rPr>
        <w:t xml:space="preserve">Self-contained </w:t>
      </w:r>
      <w:proofErr w:type="spellStart"/>
      <w:r w:rsidRPr="00E476A2">
        <w:rPr>
          <w:sz w:val="24"/>
        </w:rPr>
        <w:t>subframe</w:t>
      </w:r>
      <w:proofErr w:type="spellEnd"/>
      <w:r w:rsidRPr="00E476A2">
        <w:rPr>
          <w:sz w:val="24"/>
        </w:rPr>
        <w:t xml:space="preserve"> timeline analysis”, 3GPP TSG-RAN WG1 #86, Gothenburg, Sweden</w:t>
      </w:r>
    </w:p>
    <w:p w14:paraId="4497BF05" w14:textId="77777777" w:rsidR="006F7F66" w:rsidRDefault="006F7F66" w:rsidP="006F7F66">
      <w:pPr>
        <w:numPr>
          <w:ilvl w:val="0"/>
          <w:numId w:val="2"/>
        </w:numPr>
        <w:spacing w:before="100" w:beforeAutospacing="1" w:after="100" w:afterAutospacing="1"/>
        <w:rPr>
          <w:sz w:val="24"/>
        </w:rPr>
      </w:pPr>
      <w:bookmarkStart w:id="6" w:name="_Ref458719744"/>
      <w:r w:rsidRPr="00295090">
        <w:rPr>
          <w:sz w:val="24"/>
        </w:rPr>
        <w:t>R1-166360</w:t>
      </w:r>
      <w:r>
        <w:rPr>
          <w:sz w:val="24"/>
        </w:rPr>
        <w:t>, “</w:t>
      </w:r>
      <w:r w:rsidRPr="006B41CA">
        <w:rPr>
          <w:sz w:val="24"/>
        </w:rPr>
        <w:t xml:space="preserve">URLLC numerology </w:t>
      </w:r>
      <w:r>
        <w:rPr>
          <w:sz w:val="24"/>
        </w:rPr>
        <w:t>and HARQ frame structure design”</w:t>
      </w:r>
      <w:r w:rsidRPr="00E476A2">
        <w:rPr>
          <w:sz w:val="24"/>
        </w:rPr>
        <w:t>, 3GPP TSG-RAN WG1 #86, Gothenburg, Sweden</w:t>
      </w:r>
      <w:bookmarkEnd w:id="6"/>
    </w:p>
    <w:p w14:paraId="0C880294" w14:textId="77777777" w:rsidR="006F7F66" w:rsidRDefault="006F7F66" w:rsidP="006F7F66">
      <w:pPr>
        <w:numPr>
          <w:ilvl w:val="0"/>
          <w:numId w:val="2"/>
        </w:numPr>
        <w:spacing w:before="100" w:beforeAutospacing="1" w:after="100" w:afterAutospacing="1"/>
        <w:rPr>
          <w:sz w:val="24"/>
        </w:rPr>
      </w:pPr>
      <w:r w:rsidRPr="00C23372">
        <w:rPr>
          <w:sz w:val="24"/>
        </w:rPr>
        <w:t>R1-</w:t>
      </w:r>
      <w:r w:rsidRPr="00B63D30">
        <w:rPr>
          <w:sz w:val="24"/>
        </w:rPr>
        <w:t xml:space="preserve">164691 “NR numerology design and evaluation for long delay spread channels”, </w:t>
      </w:r>
      <w:r>
        <w:rPr>
          <w:sz w:val="24"/>
        </w:rPr>
        <w:t xml:space="preserve">3GPP TSG-RAN WG1 #85, </w:t>
      </w:r>
      <w:r w:rsidRPr="00B63D30">
        <w:rPr>
          <w:sz w:val="24"/>
        </w:rPr>
        <w:t>Nanjing, China</w:t>
      </w:r>
    </w:p>
    <w:p w14:paraId="58D7A07C" w14:textId="77777777" w:rsidR="006F7F66" w:rsidRPr="002A7E68" w:rsidRDefault="006F7F66" w:rsidP="006F7F66">
      <w:pPr>
        <w:numPr>
          <w:ilvl w:val="0"/>
          <w:numId w:val="2"/>
        </w:numPr>
        <w:spacing w:before="100" w:beforeAutospacing="1" w:after="100" w:afterAutospacing="1"/>
        <w:rPr>
          <w:sz w:val="24"/>
        </w:rPr>
      </w:pPr>
      <w:r w:rsidRPr="002E2790">
        <w:rPr>
          <w:sz w:val="24"/>
        </w:rPr>
        <w:t>R1-1612087</w:t>
      </w:r>
      <w:r>
        <w:rPr>
          <w:sz w:val="24"/>
        </w:rPr>
        <w:t xml:space="preserve"> “</w:t>
      </w:r>
      <w:r w:rsidRPr="002E2790">
        <w:rPr>
          <w:sz w:val="24"/>
        </w:rPr>
        <w:t>Scaled Numerology Control Design for NR</w:t>
      </w:r>
      <w:r>
        <w:rPr>
          <w:sz w:val="24"/>
        </w:rPr>
        <w:t>”, Qualcomm Inc.</w:t>
      </w:r>
    </w:p>
    <w:p w14:paraId="60665B65" w14:textId="2B5B0ABA" w:rsidR="002E2790" w:rsidRPr="006F7F66" w:rsidRDefault="002E2790" w:rsidP="006F7F66"/>
    <w:sectPr w:rsidR="002E2790" w:rsidRPr="006F7F66"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F1188" w14:textId="77777777" w:rsidR="00616F9A" w:rsidRDefault="00616F9A">
      <w:r>
        <w:separator/>
      </w:r>
    </w:p>
  </w:endnote>
  <w:endnote w:type="continuationSeparator" w:id="0">
    <w:p w14:paraId="10232EE3" w14:textId="77777777" w:rsidR="00616F9A" w:rsidRDefault="00616F9A">
      <w:r>
        <w:continuationSeparator/>
      </w:r>
    </w:p>
  </w:endnote>
  <w:endnote w:type="continuationNotice" w:id="1">
    <w:p w14:paraId="60E88839" w14:textId="77777777" w:rsidR="00616F9A" w:rsidRDefault="00616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DA7ABF" w:rsidRDefault="00DA7A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A7ABF" w:rsidRDefault="00DA7AB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6F8D15F1" w:rsidR="00DA7ABF" w:rsidRDefault="00DA7A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34C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34C8">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DDD65" w14:textId="77777777" w:rsidR="00616F9A" w:rsidRDefault="00616F9A">
      <w:r>
        <w:separator/>
      </w:r>
    </w:p>
  </w:footnote>
  <w:footnote w:type="continuationSeparator" w:id="0">
    <w:p w14:paraId="4356AA9E" w14:textId="77777777" w:rsidR="00616F9A" w:rsidRDefault="00616F9A">
      <w:r>
        <w:continuationSeparator/>
      </w:r>
    </w:p>
  </w:footnote>
  <w:footnote w:type="continuationNotice" w:id="1">
    <w:p w14:paraId="13F27AD6" w14:textId="77777777" w:rsidR="00616F9A" w:rsidRDefault="00616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DA7ABF" w:rsidRDefault="00DA7A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46780"/>
    <w:multiLevelType w:val="hybridMultilevel"/>
    <w:tmpl w:val="C32A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6115A1"/>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421970"/>
    <w:multiLevelType w:val="hybridMultilevel"/>
    <w:tmpl w:val="2D4C3394"/>
    <w:lvl w:ilvl="0" w:tplc="2ABAA366">
      <w:start w:val="1"/>
      <w:numFmt w:val="bullet"/>
      <w:lvlText w:val=""/>
      <w:lvlPicBulletId w:val="0"/>
      <w:lvlJc w:val="left"/>
      <w:pPr>
        <w:tabs>
          <w:tab w:val="num" w:pos="720"/>
        </w:tabs>
        <w:ind w:left="720" w:hanging="360"/>
      </w:pPr>
      <w:rPr>
        <w:rFonts w:ascii="Symbol" w:hAnsi="Symbol" w:hint="default"/>
      </w:rPr>
    </w:lvl>
    <w:lvl w:ilvl="1" w:tplc="02C4679C">
      <w:start w:val="99"/>
      <w:numFmt w:val="bullet"/>
      <w:lvlText w:val="−"/>
      <w:lvlJc w:val="left"/>
      <w:pPr>
        <w:tabs>
          <w:tab w:val="num" w:pos="1440"/>
        </w:tabs>
        <w:ind w:left="1440" w:hanging="360"/>
      </w:pPr>
      <w:rPr>
        <w:rFonts w:ascii="Calibre Regular" w:hAnsi="Calibre Regular" w:hint="default"/>
      </w:rPr>
    </w:lvl>
    <w:lvl w:ilvl="2" w:tplc="54B4D428" w:tentative="1">
      <w:start w:val="1"/>
      <w:numFmt w:val="bullet"/>
      <w:lvlText w:val=""/>
      <w:lvlPicBulletId w:val="0"/>
      <w:lvlJc w:val="left"/>
      <w:pPr>
        <w:tabs>
          <w:tab w:val="num" w:pos="2160"/>
        </w:tabs>
        <w:ind w:left="2160" w:hanging="360"/>
      </w:pPr>
      <w:rPr>
        <w:rFonts w:ascii="Symbol" w:hAnsi="Symbol" w:hint="default"/>
      </w:rPr>
    </w:lvl>
    <w:lvl w:ilvl="3" w:tplc="A0C8AA82" w:tentative="1">
      <w:start w:val="1"/>
      <w:numFmt w:val="bullet"/>
      <w:lvlText w:val=""/>
      <w:lvlPicBulletId w:val="0"/>
      <w:lvlJc w:val="left"/>
      <w:pPr>
        <w:tabs>
          <w:tab w:val="num" w:pos="2880"/>
        </w:tabs>
        <w:ind w:left="2880" w:hanging="360"/>
      </w:pPr>
      <w:rPr>
        <w:rFonts w:ascii="Symbol" w:hAnsi="Symbol" w:hint="default"/>
      </w:rPr>
    </w:lvl>
    <w:lvl w:ilvl="4" w:tplc="BF7A2936" w:tentative="1">
      <w:start w:val="1"/>
      <w:numFmt w:val="bullet"/>
      <w:lvlText w:val=""/>
      <w:lvlPicBulletId w:val="0"/>
      <w:lvlJc w:val="left"/>
      <w:pPr>
        <w:tabs>
          <w:tab w:val="num" w:pos="3600"/>
        </w:tabs>
        <w:ind w:left="3600" w:hanging="360"/>
      </w:pPr>
      <w:rPr>
        <w:rFonts w:ascii="Symbol" w:hAnsi="Symbol" w:hint="default"/>
      </w:rPr>
    </w:lvl>
    <w:lvl w:ilvl="5" w:tplc="7D406778" w:tentative="1">
      <w:start w:val="1"/>
      <w:numFmt w:val="bullet"/>
      <w:lvlText w:val=""/>
      <w:lvlPicBulletId w:val="0"/>
      <w:lvlJc w:val="left"/>
      <w:pPr>
        <w:tabs>
          <w:tab w:val="num" w:pos="4320"/>
        </w:tabs>
        <w:ind w:left="4320" w:hanging="360"/>
      </w:pPr>
      <w:rPr>
        <w:rFonts w:ascii="Symbol" w:hAnsi="Symbol" w:hint="default"/>
      </w:rPr>
    </w:lvl>
    <w:lvl w:ilvl="6" w:tplc="C40451DC" w:tentative="1">
      <w:start w:val="1"/>
      <w:numFmt w:val="bullet"/>
      <w:lvlText w:val=""/>
      <w:lvlPicBulletId w:val="0"/>
      <w:lvlJc w:val="left"/>
      <w:pPr>
        <w:tabs>
          <w:tab w:val="num" w:pos="5040"/>
        </w:tabs>
        <w:ind w:left="5040" w:hanging="360"/>
      </w:pPr>
      <w:rPr>
        <w:rFonts w:ascii="Symbol" w:hAnsi="Symbol" w:hint="default"/>
      </w:rPr>
    </w:lvl>
    <w:lvl w:ilvl="7" w:tplc="CE2E4BCA" w:tentative="1">
      <w:start w:val="1"/>
      <w:numFmt w:val="bullet"/>
      <w:lvlText w:val=""/>
      <w:lvlPicBulletId w:val="0"/>
      <w:lvlJc w:val="left"/>
      <w:pPr>
        <w:tabs>
          <w:tab w:val="num" w:pos="5760"/>
        </w:tabs>
        <w:ind w:left="5760" w:hanging="360"/>
      </w:pPr>
      <w:rPr>
        <w:rFonts w:ascii="Symbol" w:hAnsi="Symbol" w:hint="default"/>
      </w:rPr>
    </w:lvl>
    <w:lvl w:ilvl="8" w:tplc="1A4C27D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7A4CBF"/>
    <w:multiLevelType w:val="hybridMultilevel"/>
    <w:tmpl w:val="1F2AE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B6D25"/>
    <w:multiLevelType w:val="hybridMultilevel"/>
    <w:tmpl w:val="9F88C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501486"/>
    <w:multiLevelType w:val="hybridMultilevel"/>
    <w:tmpl w:val="B85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76C12"/>
    <w:multiLevelType w:val="hybridMultilevel"/>
    <w:tmpl w:val="8206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377531"/>
    <w:multiLevelType w:val="hybridMultilevel"/>
    <w:tmpl w:val="CD74556E"/>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54DB8"/>
    <w:multiLevelType w:val="hybridMultilevel"/>
    <w:tmpl w:val="03BCC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8432BE"/>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CC267D"/>
    <w:multiLevelType w:val="hybridMultilevel"/>
    <w:tmpl w:val="8452B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8131D"/>
    <w:multiLevelType w:val="hybridMultilevel"/>
    <w:tmpl w:val="F87C6D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7123E"/>
    <w:multiLevelType w:val="hybridMultilevel"/>
    <w:tmpl w:val="EBE8A9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C23D59"/>
    <w:multiLevelType w:val="hybridMultilevel"/>
    <w:tmpl w:val="3496E8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B148B"/>
    <w:multiLevelType w:val="hybridMultilevel"/>
    <w:tmpl w:val="EDDCC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2"/>
  </w:num>
  <w:num w:numId="4">
    <w:abstractNumId w:val="25"/>
  </w:num>
  <w:num w:numId="5">
    <w:abstractNumId w:val="3"/>
  </w:num>
  <w:num w:numId="6">
    <w:abstractNumId w:val="13"/>
  </w:num>
  <w:num w:numId="7">
    <w:abstractNumId w:val="15"/>
  </w:num>
  <w:num w:numId="8">
    <w:abstractNumId w:val="1"/>
  </w:num>
  <w:num w:numId="9">
    <w:abstractNumId w:val="6"/>
  </w:num>
  <w:num w:numId="10">
    <w:abstractNumId w:val="5"/>
  </w:num>
  <w:num w:numId="11">
    <w:abstractNumId w:val="37"/>
  </w:num>
  <w:num w:numId="12">
    <w:abstractNumId w:val="30"/>
  </w:num>
  <w:num w:numId="13">
    <w:abstractNumId w:val="17"/>
  </w:num>
  <w:num w:numId="14">
    <w:abstractNumId w:val="9"/>
  </w:num>
  <w:num w:numId="15">
    <w:abstractNumId w:val="8"/>
  </w:num>
  <w:num w:numId="16">
    <w:abstractNumId w:val="11"/>
  </w:num>
  <w:num w:numId="17">
    <w:abstractNumId w:val="27"/>
  </w:num>
  <w:num w:numId="18">
    <w:abstractNumId w:val="35"/>
  </w:num>
  <w:num w:numId="19">
    <w:abstractNumId w:val="2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9"/>
  </w:num>
  <w:num w:numId="24">
    <w:abstractNumId w:val="16"/>
  </w:num>
  <w:num w:numId="25">
    <w:abstractNumId w:val="40"/>
  </w:num>
  <w:num w:numId="26">
    <w:abstractNumId w:val="18"/>
  </w:num>
  <w:num w:numId="27">
    <w:abstractNumId w:val="10"/>
  </w:num>
  <w:num w:numId="28">
    <w:abstractNumId w:val="4"/>
  </w:num>
  <w:num w:numId="29">
    <w:abstractNumId w:val="23"/>
  </w:num>
  <w:num w:numId="30">
    <w:abstractNumId w:val="7"/>
  </w:num>
  <w:num w:numId="31">
    <w:abstractNumId w:val="36"/>
  </w:num>
  <w:num w:numId="32">
    <w:abstractNumId w:val="22"/>
  </w:num>
  <w:num w:numId="33">
    <w:abstractNumId w:val="34"/>
  </w:num>
  <w:num w:numId="34">
    <w:abstractNumId w:val="32"/>
  </w:num>
  <w:num w:numId="35">
    <w:abstractNumId w:val="20"/>
  </w:num>
  <w:num w:numId="36">
    <w:abstractNumId w:val="33"/>
  </w:num>
  <w:num w:numId="37">
    <w:abstractNumId w:val="14"/>
  </w:num>
  <w:num w:numId="38">
    <w:abstractNumId w:val="24"/>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C4F"/>
    <w:rsid w:val="00000ECA"/>
    <w:rsid w:val="00000F7F"/>
    <w:rsid w:val="00001375"/>
    <w:rsid w:val="00001BCB"/>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1F0"/>
    <w:rsid w:val="00014E0E"/>
    <w:rsid w:val="00015BCB"/>
    <w:rsid w:val="00015CED"/>
    <w:rsid w:val="000162B2"/>
    <w:rsid w:val="0001645D"/>
    <w:rsid w:val="000164BB"/>
    <w:rsid w:val="000167A6"/>
    <w:rsid w:val="00016DCE"/>
    <w:rsid w:val="00017309"/>
    <w:rsid w:val="00017A6C"/>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75"/>
    <w:rsid w:val="000743A0"/>
    <w:rsid w:val="00074A9E"/>
    <w:rsid w:val="00074BF5"/>
    <w:rsid w:val="000752CD"/>
    <w:rsid w:val="00075362"/>
    <w:rsid w:val="00075680"/>
    <w:rsid w:val="00075999"/>
    <w:rsid w:val="00075AB6"/>
    <w:rsid w:val="00076408"/>
    <w:rsid w:val="0007661E"/>
    <w:rsid w:val="00076A9C"/>
    <w:rsid w:val="00077073"/>
    <w:rsid w:val="00080063"/>
    <w:rsid w:val="0008022A"/>
    <w:rsid w:val="00080418"/>
    <w:rsid w:val="000805B2"/>
    <w:rsid w:val="00080696"/>
    <w:rsid w:val="00080D74"/>
    <w:rsid w:val="0008121B"/>
    <w:rsid w:val="00081383"/>
    <w:rsid w:val="00081B61"/>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A2"/>
    <w:rsid w:val="000A0CA1"/>
    <w:rsid w:val="000A0E99"/>
    <w:rsid w:val="000A1AD3"/>
    <w:rsid w:val="000A1D49"/>
    <w:rsid w:val="000A23E5"/>
    <w:rsid w:val="000A26E4"/>
    <w:rsid w:val="000A28A6"/>
    <w:rsid w:val="000A2BA0"/>
    <w:rsid w:val="000A2D70"/>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58F"/>
    <w:rsid w:val="000C08CD"/>
    <w:rsid w:val="000C133A"/>
    <w:rsid w:val="000C1545"/>
    <w:rsid w:val="000C17DB"/>
    <w:rsid w:val="000C1DBD"/>
    <w:rsid w:val="000C240A"/>
    <w:rsid w:val="000C2DE1"/>
    <w:rsid w:val="000C2E7E"/>
    <w:rsid w:val="000C3646"/>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256"/>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6B0"/>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6D"/>
    <w:rsid w:val="00130714"/>
    <w:rsid w:val="00130953"/>
    <w:rsid w:val="00130BBD"/>
    <w:rsid w:val="0013111B"/>
    <w:rsid w:val="00131227"/>
    <w:rsid w:val="00131683"/>
    <w:rsid w:val="00131AC6"/>
    <w:rsid w:val="001321CE"/>
    <w:rsid w:val="001322B0"/>
    <w:rsid w:val="00132671"/>
    <w:rsid w:val="00132767"/>
    <w:rsid w:val="00132917"/>
    <w:rsid w:val="00132D2D"/>
    <w:rsid w:val="00132E89"/>
    <w:rsid w:val="00133020"/>
    <w:rsid w:val="0013327F"/>
    <w:rsid w:val="0013334C"/>
    <w:rsid w:val="0013341F"/>
    <w:rsid w:val="00133EBD"/>
    <w:rsid w:val="00133F55"/>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D85"/>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6FF"/>
    <w:rsid w:val="0014371C"/>
    <w:rsid w:val="00143EFE"/>
    <w:rsid w:val="00143FFE"/>
    <w:rsid w:val="00144353"/>
    <w:rsid w:val="0014471E"/>
    <w:rsid w:val="001447A6"/>
    <w:rsid w:val="0014491B"/>
    <w:rsid w:val="00144B3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140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31C"/>
    <w:rsid w:val="00195657"/>
    <w:rsid w:val="0019573B"/>
    <w:rsid w:val="0019592C"/>
    <w:rsid w:val="00196085"/>
    <w:rsid w:val="00196183"/>
    <w:rsid w:val="0019631A"/>
    <w:rsid w:val="00196B90"/>
    <w:rsid w:val="00196D1B"/>
    <w:rsid w:val="00196DE8"/>
    <w:rsid w:val="00196F4A"/>
    <w:rsid w:val="00196FF4"/>
    <w:rsid w:val="0019734F"/>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6A"/>
    <w:rsid w:val="001B2993"/>
    <w:rsid w:val="001B2C18"/>
    <w:rsid w:val="001B35C1"/>
    <w:rsid w:val="001B3754"/>
    <w:rsid w:val="001B3A10"/>
    <w:rsid w:val="001B4371"/>
    <w:rsid w:val="001B48D7"/>
    <w:rsid w:val="001B5332"/>
    <w:rsid w:val="001B54E9"/>
    <w:rsid w:val="001B55DE"/>
    <w:rsid w:val="001B6645"/>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30B"/>
    <w:rsid w:val="001C49A1"/>
    <w:rsid w:val="001C4A39"/>
    <w:rsid w:val="001C4F5F"/>
    <w:rsid w:val="001C54B8"/>
    <w:rsid w:val="001C589B"/>
    <w:rsid w:val="001C58A6"/>
    <w:rsid w:val="001C5BC8"/>
    <w:rsid w:val="001C5DBB"/>
    <w:rsid w:val="001C5F88"/>
    <w:rsid w:val="001C6182"/>
    <w:rsid w:val="001C619C"/>
    <w:rsid w:val="001C66D2"/>
    <w:rsid w:val="001C7686"/>
    <w:rsid w:val="001C7F47"/>
    <w:rsid w:val="001D006C"/>
    <w:rsid w:val="001D056C"/>
    <w:rsid w:val="001D0578"/>
    <w:rsid w:val="001D0593"/>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879"/>
    <w:rsid w:val="001D6E61"/>
    <w:rsid w:val="001D6F30"/>
    <w:rsid w:val="001D7260"/>
    <w:rsid w:val="001D7816"/>
    <w:rsid w:val="001D7ADE"/>
    <w:rsid w:val="001D7B96"/>
    <w:rsid w:val="001D7FE2"/>
    <w:rsid w:val="001E06C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3E2E"/>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5D09"/>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A29"/>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4C8"/>
    <w:rsid w:val="002637C3"/>
    <w:rsid w:val="0026382D"/>
    <w:rsid w:val="0026385F"/>
    <w:rsid w:val="00263DD9"/>
    <w:rsid w:val="00264256"/>
    <w:rsid w:val="0026432F"/>
    <w:rsid w:val="0026455A"/>
    <w:rsid w:val="0026460B"/>
    <w:rsid w:val="0026468A"/>
    <w:rsid w:val="00264890"/>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FC9"/>
    <w:rsid w:val="00283165"/>
    <w:rsid w:val="002832E7"/>
    <w:rsid w:val="00283852"/>
    <w:rsid w:val="00284293"/>
    <w:rsid w:val="00284CA1"/>
    <w:rsid w:val="00284E7F"/>
    <w:rsid w:val="0028550D"/>
    <w:rsid w:val="00285520"/>
    <w:rsid w:val="00285894"/>
    <w:rsid w:val="00285E28"/>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0F"/>
    <w:rsid w:val="002B3D90"/>
    <w:rsid w:val="002B453B"/>
    <w:rsid w:val="002B4C39"/>
    <w:rsid w:val="002B50A1"/>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2062"/>
    <w:rsid w:val="002D2B4E"/>
    <w:rsid w:val="002D2B96"/>
    <w:rsid w:val="002D2DA9"/>
    <w:rsid w:val="002D3182"/>
    <w:rsid w:val="002D33A2"/>
    <w:rsid w:val="002D3968"/>
    <w:rsid w:val="002D3AAE"/>
    <w:rsid w:val="002D425A"/>
    <w:rsid w:val="002D4314"/>
    <w:rsid w:val="002D459E"/>
    <w:rsid w:val="002D4A54"/>
    <w:rsid w:val="002D4E37"/>
    <w:rsid w:val="002D52E0"/>
    <w:rsid w:val="002D5A8F"/>
    <w:rsid w:val="002D5DEA"/>
    <w:rsid w:val="002D6127"/>
    <w:rsid w:val="002D61BE"/>
    <w:rsid w:val="002D61F0"/>
    <w:rsid w:val="002D6FAC"/>
    <w:rsid w:val="002D7235"/>
    <w:rsid w:val="002D76E8"/>
    <w:rsid w:val="002D7E06"/>
    <w:rsid w:val="002E0E94"/>
    <w:rsid w:val="002E15A5"/>
    <w:rsid w:val="002E16BC"/>
    <w:rsid w:val="002E25D2"/>
    <w:rsid w:val="002E2620"/>
    <w:rsid w:val="002E2738"/>
    <w:rsid w:val="002E2790"/>
    <w:rsid w:val="002E2923"/>
    <w:rsid w:val="002E2A76"/>
    <w:rsid w:val="002E306D"/>
    <w:rsid w:val="002E3653"/>
    <w:rsid w:val="002E38B7"/>
    <w:rsid w:val="002E3AF5"/>
    <w:rsid w:val="002E4301"/>
    <w:rsid w:val="002E437F"/>
    <w:rsid w:val="002E5338"/>
    <w:rsid w:val="002E58E1"/>
    <w:rsid w:val="002E5BDD"/>
    <w:rsid w:val="002E5C56"/>
    <w:rsid w:val="002E5D86"/>
    <w:rsid w:val="002E5DD7"/>
    <w:rsid w:val="002E6809"/>
    <w:rsid w:val="002E6853"/>
    <w:rsid w:val="002F0045"/>
    <w:rsid w:val="002F00F0"/>
    <w:rsid w:val="002F025B"/>
    <w:rsid w:val="002F0684"/>
    <w:rsid w:val="002F09C0"/>
    <w:rsid w:val="002F0ADB"/>
    <w:rsid w:val="002F0E34"/>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4F"/>
    <w:rsid w:val="003141C2"/>
    <w:rsid w:val="00314ACB"/>
    <w:rsid w:val="00314C05"/>
    <w:rsid w:val="00314CBB"/>
    <w:rsid w:val="0031599D"/>
    <w:rsid w:val="00315D47"/>
    <w:rsid w:val="00316064"/>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7A6"/>
    <w:rsid w:val="003271E3"/>
    <w:rsid w:val="00327233"/>
    <w:rsid w:val="003272D0"/>
    <w:rsid w:val="003273DE"/>
    <w:rsid w:val="003276C7"/>
    <w:rsid w:val="003278C7"/>
    <w:rsid w:val="0032793B"/>
    <w:rsid w:val="00327AEA"/>
    <w:rsid w:val="00327D99"/>
    <w:rsid w:val="00327FA5"/>
    <w:rsid w:val="00330140"/>
    <w:rsid w:val="003308C4"/>
    <w:rsid w:val="00330C30"/>
    <w:rsid w:val="00330DE8"/>
    <w:rsid w:val="00330FAF"/>
    <w:rsid w:val="00332123"/>
    <w:rsid w:val="003321C3"/>
    <w:rsid w:val="00332962"/>
    <w:rsid w:val="00332D99"/>
    <w:rsid w:val="0033374E"/>
    <w:rsid w:val="00333EB0"/>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04"/>
    <w:rsid w:val="00340CC6"/>
    <w:rsid w:val="00340E58"/>
    <w:rsid w:val="00341087"/>
    <w:rsid w:val="00341706"/>
    <w:rsid w:val="00341CFA"/>
    <w:rsid w:val="0034246D"/>
    <w:rsid w:val="00342770"/>
    <w:rsid w:val="0034305B"/>
    <w:rsid w:val="00343C24"/>
    <w:rsid w:val="00343FA6"/>
    <w:rsid w:val="00344725"/>
    <w:rsid w:val="00344901"/>
    <w:rsid w:val="0034511B"/>
    <w:rsid w:val="003453BB"/>
    <w:rsid w:val="0034745C"/>
    <w:rsid w:val="003474CD"/>
    <w:rsid w:val="003479B6"/>
    <w:rsid w:val="0035025F"/>
    <w:rsid w:val="0035041A"/>
    <w:rsid w:val="003505AD"/>
    <w:rsid w:val="00350631"/>
    <w:rsid w:val="00350EE7"/>
    <w:rsid w:val="00351439"/>
    <w:rsid w:val="0035180B"/>
    <w:rsid w:val="00351C98"/>
    <w:rsid w:val="0035216E"/>
    <w:rsid w:val="003525F7"/>
    <w:rsid w:val="00352759"/>
    <w:rsid w:val="00352828"/>
    <w:rsid w:val="00352952"/>
    <w:rsid w:val="00352DA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65C5"/>
    <w:rsid w:val="00366B3A"/>
    <w:rsid w:val="00366C4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305"/>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32"/>
    <w:rsid w:val="00394948"/>
    <w:rsid w:val="00394B44"/>
    <w:rsid w:val="00394D6C"/>
    <w:rsid w:val="0039502C"/>
    <w:rsid w:val="0039511F"/>
    <w:rsid w:val="003956FE"/>
    <w:rsid w:val="00395721"/>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B028A"/>
    <w:rsid w:val="003B0299"/>
    <w:rsid w:val="003B0B4D"/>
    <w:rsid w:val="003B248F"/>
    <w:rsid w:val="003B2B79"/>
    <w:rsid w:val="003B2C70"/>
    <w:rsid w:val="003B3171"/>
    <w:rsid w:val="003B3E56"/>
    <w:rsid w:val="003B4039"/>
    <w:rsid w:val="003B4201"/>
    <w:rsid w:val="003B4482"/>
    <w:rsid w:val="003B450E"/>
    <w:rsid w:val="003B4529"/>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08D"/>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48A"/>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51F8"/>
    <w:rsid w:val="004253B1"/>
    <w:rsid w:val="00425C97"/>
    <w:rsid w:val="00425FFD"/>
    <w:rsid w:val="004262F8"/>
    <w:rsid w:val="00426442"/>
    <w:rsid w:val="0042654A"/>
    <w:rsid w:val="00426707"/>
    <w:rsid w:val="00426A22"/>
    <w:rsid w:val="00426A45"/>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768"/>
    <w:rsid w:val="00453871"/>
    <w:rsid w:val="00453DEF"/>
    <w:rsid w:val="00453FA3"/>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ED8"/>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097"/>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E5E"/>
    <w:rsid w:val="004A4625"/>
    <w:rsid w:val="004A4900"/>
    <w:rsid w:val="004A4D38"/>
    <w:rsid w:val="004A4E7E"/>
    <w:rsid w:val="004A4E95"/>
    <w:rsid w:val="004A4EB4"/>
    <w:rsid w:val="004A51FA"/>
    <w:rsid w:val="004A5270"/>
    <w:rsid w:val="004A57FC"/>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64"/>
    <w:rsid w:val="004B45A2"/>
    <w:rsid w:val="004B46C3"/>
    <w:rsid w:val="004B4789"/>
    <w:rsid w:val="004B4A0F"/>
    <w:rsid w:val="004B4F6B"/>
    <w:rsid w:val="004B50E0"/>
    <w:rsid w:val="004B556C"/>
    <w:rsid w:val="004B55EC"/>
    <w:rsid w:val="004B5A8F"/>
    <w:rsid w:val="004B6301"/>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96"/>
    <w:rsid w:val="004C63D6"/>
    <w:rsid w:val="004C655E"/>
    <w:rsid w:val="004C660B"/>
    <w:rsid w:val="004C6A4F"/>
    <w:rsid w:val="004C730E"/>
    <w:rsid w:val="004C7739"/>
    <w:rsid w:val="004C7B5E"/>
    <w:rsid w:val="004C7BDF"/>
    <w:rsid w:val="004D06CC"/>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2DAB"/>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23"/>
    <w:rsid w:val="00527860"/>
    <w:rsid w:val="00527A58"/>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4DE"/>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54E"/>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D7"/>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B27"/>
    <w:rsid w:val="00572F26"/>
    <w:rsid w:val="005730FF"/>
    <w:rsid w:val="0057344E"/>
    <w:rsid w:val="0057380A"/>
    <w:rsid w:val="00573ACE"/>
    <w:rsid w:val="00573BB0"/>
    <w:rsid w:val="00573D2B"/>
    <w:rsid w:val="00573F24"/>
    <w:rsid w:val="00574065"/>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59B"/>
    <w:rsid w:val="0058764D"/>
    <w:rsid w:val="00587BC5"/>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20D"/>
    <w:rsid w:val="005A369A"/>
    <w:rsid w:val="005A36E3"/>
    <w:rsid w:val="005A3A31"/>
    <w:rsid w:val="005A416C"/>
    <w:rsid w:val="005A4B05"/>
    <w:rsid w:val="005A588D"/>
    <w:rsid w:val="005A59CF"/>
    <w:rsid w:val="005A5CD3"/>
    <w:rsid w:val="005A6223"/>
    <w:rsid w:val="005A6A3A"/>
    <w:rsid w:val="005A6E87"/>
    <w:rsid w:val="005A7F72"/>
    <w:rsid w:val="005B0A7D"/>
    <w:rsid w:val="005B0F18"/>
    <w:rsid w:val="005B1197"/>
    <w:rsid w:val="005B15D2"/>
    <w:rsid w:val="005B16CC"/>
    <w:rsid w:val="005B18BB"/>
    <w:rsid w:val="005B193B"/>
    <w:rsid w:val="005B2335"/>
    <w:rsid w:val="005B2422"/>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6D7E"/>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0E0"/>
    <w:rsid w:val="005F06FA"/>
    <w:rsid w:val="005F06FD"/>
    <w:rsid w:val="005F0B4C"/>
    <w:rsid w:val="005F0B53"/>
    <w:rsid w:val="005F0C46"/>
    <w:rsid w:val="005F121A"/>
    <w:rsid w:val="005F1FE4"/>
    <w:rsid w:val="005F2517"/>
    <w:rsid w:val="005F2528"/>
    <w:rsid w:val="005F2FF1"/>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267"/>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6F9A"/>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DF8"/>
    <w:rsid w:val="00627E44"/>
    <w:rsid w:val="006300D7"/>
    <w:rsid w:val="00630333"/>
    <w:rsid w:val="0063037C"/>
    <w:rsid w:val="00630C50"/>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769"/>
    <w:rsid w:val="00643891"/>
    <w:rsid w:val="00643DCD"/>
    <w:rsid w:val="00644200"/>
    <w:rsid w:val="0064428B"/>
    <w:rsid w:val="00644511"/>
    <w:rsid w:val="0064486C"/>
    <w:rsid w:val="00644A30"/>
    <w:rsid w:val="00644E60"/>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782"/>
    <w:rsid w:val="00653FED"/>
    <w:rsid w:val="0065424F"/>
    <w:rsid w:val="006544F6"/>
    <w:rsid w:val="00655070"/>
    <w:rsid w:val="00655223"/>
    <w:rsid w:val="006553B9"/>
    <w:rsid w:val="00655780"/>
    <w:rsid w:val="0065594D"/>
    <w:rsid w:val="00655B1D"/>
    <w:rsid w:val="006560A6"/>
    <w:rsid w:val="006561FF"/>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911"/>
    <w:rsid w:val="00666E49"/>
    <w:rsid w:val="006672FC"/>
    <w:rsid w:val="00667378"/>
    <w:rsid w:val="0066745C"/>
    <w:rsid w:val="00667606"/>
    <w:rsid w:val="00667A27"/>
    <w:rsid w:val="00670204"/>
    <w:rsid w:val="00670290"/>
    <w:rsid w:val="006704BF"/>
    <w:rsid w:val="00670646"/>
    <w:rsid w:val="00670AD6"/>
    <w:rsid w:val="00670ECD"/>
    <w:rsid w:val="00671010"/>
    <w:rsid w:val="0067106A"/>
    <w:rsid w:val="00671B4F"/>
    <w:rsid w:val="006725CC"/>
    <w:rsid w:val="0067273D"/>
    <w:rsid w:val="00672966"/>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CCF"/>
    <w:rsid w:val="00686FAD"/>
    <w:rsid w:val="0068721F"/>
    <w:rsid w:val="006878B2"/>
    <w:rsid w:val="00687A10"/>
    <w:rsid w:val="00690044"/>
    <w:rsid w:val="00690D12"/>
    <w:rsid w:val="00690F0E"/>
    <w:rsid w:val="0069176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6A"/>
    <w:rsid w:val="006951E3"/>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70"/>
    <w:rsid w:val="006E6F03"/>
    <w:rsid w:val="006E71A8"/>
    <w:rsid w:val="006E7496"/>
    <w:rsid w:val="006E7883"/>
    <w:rsid w:val="006E7969"/>
    <w:rsid w:val="006E7E49"/>
    <w:rsid w:val="006E7F71"/>
    <w:rsid w:val="006F0209"/>
    <w:rsid w:val="006F05C2"/>
    <w:rsid w:val="006F0842"/>
    <w:rsid w:val="006F090B"/>
    <w:rsid w:val="006F0C12"/>
    <w:rsid w:val="006F0DB2"/>
    <w:rsid w:val="006F0E38"/>
    <w:rsid w:val="006F0EB1"/>
    <w:rsid w:val="006F14DA"/>
    <w:rsid w:val="006F19CE"/>
    <w:rsid w:val="006F1D86"/>
    <w:rsid w:val="006F1E30"/>
    <w:rsid w:val="006F1EBF"/>
    <w:rsid w:val="006F20A6"/>
    <w:rsid w:val="006F291E"/>
    <w:rsid w:val="006F3052"/>
    <w:rsid w:val="006F314D"/>
    <w:rsid w:val="006F3B01"/>
    <w:rsid w:val="006F3C66"/>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46B"/>
    <w:rsid w:val="007056ED"/>
    <w:rsid w:val="00705B1D"/>
    <w:rsid w:val="00705B56"/>
    <w:rsid w:val="00705BE0"/>
    <w:rsid w:val="00705D28"/>
    <w:rsid w:val="0070632C"/>
    <w:rsid w:val="00706AC2"/>
    <w:rsid w:val="00706FFB"/>
    <w:rsid w:val="0070743B"/>
    <w:rsid w:val="0070768F"/>
    <w:rsid w:val="00707AF1"/>
    <w:rsid w:val="00707B13"/>
    <w:rsid w:val="00707CC2"/>
    <w:rsid w:val="00707EC9"/>
    <w:rsid w:val="0071003F"/>
    <w:rsid w:val="007101EE"/>
    <w:rsid w:val="00710539"/>
    <w:rsid w:val="00710994"/>
    <w:rsid w:val="007109CD"/>
    <w:rsid w:val="007109E2"/>
    <w:rsid w:val="00710A3E"/>
    <w:rsid w:val="00710D33"/>
    <w:rsid w:val="00710DB3"/>
    <w:rsid w:val="00710F00"/>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DD9"/>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D2"/>
    <w:rsid w:val="007273EC"/>
    <w:rsid w:val="007279F1"/>
    <w:rsid w:val="00727E9F"/>
    <w:rsid w:val="00730B09"/>
    <w:rsid w:val="00730F67"/>
    <w:rsid w:val="0073128B"/>
    <w:rsid w:val="0073150C"/>
    <w:rsid w:val="0073171A"/>
    <w:rsid w:val="007325D3"/>
    <w:rsid w:val="00732885"/>
    <w:rsid w:val="00733858"/>
    <w:rsid w:val="00733A80"/>
    <w:rsid w:val="00734791"/>
    <w:rsid w:val="0073487C"/>
    <w:rsid w:val="0073497A"/>
    <w:rsid w:val="00734DC0"/>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420"/>
    <w:rsid w:val="00755559"/>
    <w:rsid w:val="00755B06"/>
    <w:rsid w:val="00755D41"/>
    <w:rsid w:val="00755E06"/>
    <w:rsid w:val="00755F8B"/>
    <w:rsid w:val="007562C7"/>
    <w:rsid w:val="007565E2"/>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1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519"/>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662"/>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CC4"/>
    <w:rsid w:val="007B1F9A"/>
    <w:rsid w:val="007B2074"/>
    <w:rsid w:val="007B2638"/>
    <w:rsid w:val="007B2BB1"/>
    <w:rsid w:val="007B3476"/>
    <w:rsid w:val="007B3F21"/>
    <w:rsid w:val="007B448A"/>
    <w:rsid w:val="007B44DC"/>
    <w:rsid w:val="007B4543"/>
    <w:rsid w:val="007B4937"/>
    <w:rsid w:val="007B4BE5"/>
    <w:rsid w:val="007B4D3D"/>
    <w:rsid w:val="007B550D"/>
    <w:rsid w:val="007B5A66"/>
    <w:rsid w:val="007B630D"/>
    <w:rsid w:val="007B6AE4"/>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334E"/>
    <w:rsid w:val="007D357E"/>
    <w:rsid w:val="007D3889"/>
    <w:rsid w:val="007D39D7"/>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89"/>
    <w:rsid w:val="007E48CD"/>
    <w:rsid w:val="007E48E4"/>
    <w:rsid w:val="007E531F"/>
    <w:rsid w:val="007E5634"/>
    <w:rsid w:val="007E5D16"/>
    <w:rsid w:val="007E5FFD"/>
    <w:rsid w:val="007E6239"/>
    <w:rsid w:val="007E6265"/>
    <w:rsid w:val="007E6735"/>
    <w:rsid w:val="007E67F4"/>
    <w:rsid w:val="007E732E"/>
    <w:rsid w:val="007E741E"/>
    <w:rsid w:val="007E7B2B"/>
    <w:rsid w:val="007E7E6F"/>
    <w:rsid w:val="007F05E0"/>
    <w:rsid w:val="007F0B77"/>
    <w:rsid w:val="007F0B82"/>
    <w:rsid w:val="007F0DD3"/>
    <w:rsid w:val="007F1083"/>
    <w:rsid w:val="007F18C0"/>
    <w:rsid w:val="007F2477"/>
    <w:rsid w:val="007F26F6"/>
    <w:rsid w:val="007F2DBB"/>
    <w:rsid w:val="007F2ED4"/>
    <w:rsid w:val="007F3622"/>
    <w:rsid w:val="007F3960"/>
    <w:rsid w:val="007F3FB0"/>
    <w:rsid w:val="007F43A9"/>
    <w:rsid w:val="007F5605"/>
    <w:rsid w:val="007F5608"/>
    <w:rsid w:val="007F569C"/>
    <w:rsid w:val="007F5874"/>
    <w:rsid w:val="007F5B3A"/>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131"/>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93"/>
    <w:rsid w:val="00825EEF"/>
    <w:rsid w:val="00826204"/>
    <w:rsid w:val="008263E0"/>
    <w:rsid w:val="00826D90"/>
    <w:rsid w:val="00827015"/>
    <w:rsid w:val="00827109"/>
    <w:rsid w:val="00827166"/>
    <w:rsid w:val="008272E9"/>
    <w:rsid w:val="00827981"/>
    <w:rsid w:val="0082799E"/>
    <w:rsid w:val="00827A41"/>
    <w:rsid w:val="00827AF3"/>
    <w:rsid w:val="00827B27"/>
    <w:rsid w:val="0083179C"/>
    <w:rsid w:val="00832142"/>
    <w:rsid w:val="00832C18"/>
    <w:rsid w:val="00832CAF"/>
    <w:rsid w:val="00833007"/>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334"/>
    <w:rsid w:val="00843522"/>
    <w:rsid w:val="0084387F"/>
    <w:rsid w:val="00843AFD"/>
    <w:rsid w:val="00843B2C"/>
    <w:rsid w:val="008444F8"/>
    <w:rsid w:val="00844595"/>
    <w:rsid w:val="008445D2"/>
    <w:rsid w:val="00844750"/>
    <w:rsid w:val="008447E4"/>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C45"/>
    <w:rsid w:val="00854090"/>
    <w:rsid w:val="008540C8"/>
    <w:rsid w:val="00854983"/>
    <w:rsid w:val="00854A91"/>
    <w:rsid w:val="00854E0E"/>
    <w:rsid w:val="00855FF4"/>
    <w:rsid w:val="008561D7"/>
    <w:rsid w:val="008562B0"/>
    <w:rsid w:val="00856301"/>
    <w:rsid w:val="008569DF"/>
    <w:rsid w:val="00856D2B"/>
    <w:rsid w:val="00856E4A"/>
    <w:rsid w:val="00856EF0"/>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A9A"/>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F79"/>
    <w:rsid w:val="00875FBD"/>
    <w:rsid w:val="008769E5"/>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B3B"/>
    <w:rsid w:val="00893BA4"/>
    <w:rsid w:val="00893C86"/>
    <w:rsid w:val="00893DB2"/>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6BE"/>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97B"/>
    <w:rsid w:val="008B3E81"/>
    <w:rsid w:val="008B41EF"/>
    <w:rsid w:val="008B4230"/>
    <w:rsid w:val="008B447F"/>
    <w:rsid w:val="008B44A9"/>
    <w:rsid w:val="008B4A4A"/>
    <w:rsid w:val="008B4B0D"/>
    <w:rsid w:val="008B4B33"/>
    <w:rsid w:val="008B512E"/>
    <w:rsid w:val="008B5448"/>
    <w:rsid w:val="008B5577"/>
    <w:rsid w:val="008B592F"/>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E8C"/>
    <w:rsid w:val="008E3278"/>
    <w:rsid w:val="008E378A"/>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365"/>
    <w:rsid w:val="008E6788"/>
    <w:rsid w:val="008E743E"/>
    <w:rsid w:val="008E7684"/>
    <w:rsid w:val="008E76C6"/>
    <w:rsid w:val="008E7DB3"/>
    <w:rsid w:val="008E7F9D"/>
    <w:rsid w:val="008F0090"/>
    <w:rsid w:val="008F00FD"/>
    <w:rsid w:val="008F01AB"/>
    <w:rsid w:val="008F044C"/>
    <w:rsid w:val="008F0460"/>
    <w:rsid w:val="008F06E5"/>
    <w:rsid w:val="008F0BA6"/>
    <w:rsid w:val="008F0FC8"/>
    <w:rsid w:val="008F15BA"/>
    <w:rsid w:val="008F1CF8"/>
    <w:rsid w:val="008F2201"/>
    <w:rsid w:val="008F2A8C"/>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9C2"/>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FA"/>
    <w:rsid w:val="00961A61"/>
    <w:rsid w:val="00961E6D"/>
    <w:rsid w:val="00961F21"/>
    <w:rsid w:val="009621FF"/>
    <w:rsid w:val="00962635"/>
    <w:rsid w:val="00962EF1"/>
    <w:rsid w:val="0096392B"/>
    <w:rsid w:val="0096397B"/>
    <w:rsid w:val="00964AE6"/>
    <w:rsid w:val="00964E3C"/>
    <w:rsid w:val="00964E69"/>
    <w:rsid w:val="0096504D"/>
    <w:rsid w:val="00965270"/>
    <w:rsid w:val="009654F0"/>
    <w:rsid w:val="009659EA"/>
    <w:rsid w:val="0096691D"/>
    <w:rsid w:val="00966AF5"/>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80403"/>
    <w:rsid w:val="009804CB"/>
    <w:rsid w:val="009809DD"/>
    <w:rsid w:val="00980ACA"/>
    <w:rsid w:val="00980F14"/>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9B0"/>
    <w:rsid w:val="00996A8B"/>
    <w:rsid w:val="00996AAB"/>
    <w:rsid w:val="00996CD4"/>
    <w:rsid w:val="0099731A"/>
    <w:rsid w:val="009975D0"/>
    <w:rsid w:val="009979D6"/>
    <w:rsid w:val="00997CA3"/>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2E47"/>
    <w:rsid w:val="009B3128"/>
    <w:rsid w:val="009B3685"/>
    <w:rsid w:val="009B3745"/>
    <w:rsid w:val="009B3C79"/>
    <w:rsid w:val="009B3D47"/>
    <w:rsid w:val="009B4250"/>
    <w:rsid w:val="009B4821"/>
    <w:rsid w:val="009B4C1C"/>
    <w:rsid w:val="009B4C24"/>
    <w:rsid w:val="009B52A1"/>
    <w:rsid w:val="009B5821"/>
    <w:rsid w:val="009B629D"/>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FAE"/>
    <w:rsid w:val="009C73A6"/>
    <w:rsid w:val="009C73C4"/>
    <w:rsid w:val="009C7CE4"/>
    <w:rsid w:val="009C7F47"/>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6D8"/>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1F1A"/>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647"/>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4B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3B1"/>
    <w:rsid w:val="00A27706"/>
    <w:rsid w:val="00A279DC"/>
    <w:rsid w:val="00A30355"/>
    <w:rsid w:val="00A303CA"/>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139"/>
    <w:rsid w:val="00A3331F"/>
    <w:rsid w:val="00A3393A"/>
    <w:rsid w:val="00A33A06"/>
    <w:rsid w:val="00A33E9B"/>
    <w:rsid w:val="00A34685"/>
    <w:rsid w:val="00A34DA0"/>
    <w:rsid w:val="00A35A0B"/>
    <w:rsid w:val="00A35BD0"/>
    <w:rsid w:val="00A362CB"/>
    <w:rsid w:val="00A370B5"/>
    <w:rsid w:val="00A37353"/>
    <w:rsid w:val="00A37413"/>
    <w:rsid w:val="00A3747D"/>
    <w:rsid w:val="00A37A59"/>
    <w:rsid w:val="00A37E05"/>
    <w:rsid w:val="00A40169"/>
    <w:rsid w:val="00A40531"/>
    <w:rsid w:val="00A40660"/>
    <w:rsid w:val="00A40C1E"/>
    <w:rsid w:val="00A41821"/>
    <w:rsid w:val="00A418E7"/>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949"/>
    <w:rsid w:val="00AD5D77"/>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624"/>
    <w:rsid w:val="00AF2799"/>
    <w:rsid w:val="00AF28B0"/>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23"/>
    <w:rsid w:val="00B039CE"/>
    <w:rsid w:val="00B03BB8"/>
    <w:rsid w:val="00B03D26"/>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34"/>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5DBE"/>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0EDB"/>
    <w:rsid w:val="00B610E0"/>
    <w:rsid w:val="00B6112D"/>
    <w:rsid w:val="00B6156C"/>
    <w:rsid w:val="00B6159B"/>
    <w:rsid w:val="00B619AF"/>
    <w:rsid w:val="00B61B85"/>
    <w:rsid w:val="00B61CFF"/>
    <w:rsid w:val="00B61F08"/>
    <w:rsid w:val="00B61F70"/>
    <w:rsid w:val="00B620F1"/>
    <w:rsid w:val="00B62333"/>
    <w:rsid w:val="00B6237B"/>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95"/>
    <w:rsid w:val="00B80F5B"/>
    <w:rsid w:val="00B81578"/>
    <w:rsid w:val="00B8164F"/>
    <w:rsid w:val="00B81684"/>
    <w:rsid w:val="00B817F4"/>
    <w:rsid w:val="00B820AE"/>
    <w:rsid w:val="00B821AB"/>
    <w:rsid w:val="00B82A8C"/>
    <w:rsid w:val="00B830F7"/>
    <w:rsid w:val="00B8321E"/>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6E7"/>
    <w:rsid w:val="00B95019"/>
    <w:rsid w:val="00B950E8"/>
    <w:rsid w:val="00B95372"/>
    <w:rsid w:val="00B954FC"/>
    <w:rsid w:val="00B95A04"/>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16B"/>
    <w:rsid w:val="00BA48E0"/>
    <w:rsid w:val="00BA4CF4"/>
    <w:rsid w:val="00BA54FB"/>
    <w:rsid w:val="00BA5C97"/>
    <w:rsid w:val="00BA5EFB"/>
    <w:rsid w:val="00BA659A"/>
    <w:rsid w:val="00BA68C1"/>
    <w:rsid w:val="00BA6D50"/>
    <w:rsid w:val="00BA712E"/>
    <w:rsid w:val="00BA7423"/>
    <w:rsid w:val="00BA7688"/>
    <w:rsid w:val="00BA7A20"/>
    <w:rsid w:val="00BA7EB0"/>
    <w:rsid w:val="00BB0013"/>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97A"/>
    <w:rsid w:val="00BE1A06"/>
    <w:rsid w:val="00BE2A02"/>
    <w:rsid w:val="00BE2E99"/>
    <w:rsid w:val="00BE356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1F"/>
    <w:rsid w:val="00BF4923"/>
    <w:rsid w:val="00BF4B69"/>
    <w:rsid w:val="00BF5350"/>
    <w:rsid w:val="00BF55D0"/>
    <w:rsid w:val="00BF5623"/>
    <w:rsid w:val="00BF56A8"/>
    <w:rsid w:val="00BF60E3"/>
    <w:rsid w:val="00BF6597"/>
    <w:rsid w:val="00BF6FBF"/>
    <w:rsid w:val="00BF70A1"/>
    <w:rsid w:val="00BF70F8"/>
    <w:rsid w:val="00BF72FB"/>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F8C"/>
    <w:rsid w:val="00C076C7"/>
    <w:rsid w:val="00C07A6C"/>
    <w:rsid w:val="00C07AE3"/>
    <w:rsid w:val="00C07AE4"/>
    <w:rsid w:val="00C07C5C"/>
    <w:rsid w:val="00C10599"/>
    <w:rsid w:val="00C106BB"/>
    <w:rsid w:val="00C10A55"/>
    <w:rsid w:val="00C10F46"/>
    <w:rsid w:val="00C1114F"/>
    <w:rsid w:val="00C11183"/>
    <w:rsid w:val="00C11197"/>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B29"/>
    <w:rsid w:val="00C21BB0"/>
    <w:rsid w:val="00C21EE8"/>
    <w:rsid w:val="00C21F4D"/>
    <w:rsid w:val="00C226CE"/>
    <w:rsid w:val="00C22FA0"/>
    <w:rsid w:val="00C232DD"/>
    <w:rsid w:val="00C23372"/>
    <w:rsid w:val="00C23C35"/>
    <w:rsid w:val="00C2423A"/>
    <w:rsid w:val="00C244D8"/>
    <w:rsid w:val="00C24789"/>
    <w:rsid w:val="00C247C6"/>
    <w:rsid w:val="00C24AF5"/>
    <w:rsid w:val="00C24EE5"/>
    <w:rsid w:val="00C250CF"/>
    <w:rsid w:val="00C2544D"/>
    <w:rsid w:val="00C25509"/>
    <w:rsid w:val="00C25639"/>
    <w:rsid w:val="00C26871"/>
    <w:rsid w:val="00C2695A"/>
    <w:rsid w:val="00C26EB2"/>
    <w:rsid w:val="00C27156"/>
    <w:rsid w:val="00C274BE"/>
    <w:rsid w:val="00C275D9"/>
    <w:rsid w:val="00C2769D"/>
    <w:rsid w:val="00C27CD4"/>
    <w:rsid w:val="00C27E49"/>
    <w:rsid w:val="00C3023A"/>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0C"/>
    <w:rsid w:val="00C3372C"/>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6E75"/>
    <w:rsid w:val="00C37050"/>
    <w:rsid w:val="00C37ABC"/>
    <w:rsid w:val="00C37CA6"/>
    <w:rsid w:val="00C37F8D"/>
    <w:rsid w:val="00C4018E"/>
    <w:rsid w:val="00C404D5"/>
    <w:rsid w:val="00C40623"/>
    <w:rsid w:val="00C40B7D"/>
    <w:rsid w:val="00C40CD4"/>
    <w:rsid w:val="00C41057"/>
    <w:rsid w:val="00C411E2"/>
    <w:rsid w:val="00C4154A"/>
    <w:rsid w:val="00C41CCC"/>
    <w:rsid w:val="00C41E8D"/>
    <w:rsid w:val="00C42130"/>
    <w:rsid w:val="00C42784"/>
    <w:rsid w:val="00C429E1"/>
    <w:rsid w:val="00C439F0"/>
    <w:rsid w:val="00C43A54"/>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8"/>
    <w:rsid w:val="00C7040D"/>
    <w:rsid w:val="00C70B8C"/>
    <w:rsid w:val="00C71327"/>
    <w:rsid w:val="00C71468"/>
    <w:rsid w:val="00C716B9"/>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155"/>
    <w:rsid w:val="00C80441"/>
    <w:rsid w:val="00C8054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FCC"/>
    <w:rsid w:val="00CA114D"/>
    <w:rsid w:val="00CA1225"/>
    <w:rsid w:val="00CA18D2"/>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F2A"/>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87C"/>
    <w:rsid w:val="00CD492B"/>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E39"/>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F01"/>
    <w:rsid w:val="00CF4050"/>
    <w:rsid w:val="00CF41AE"/>
    <w:rsid w:val="00CF42A0"/>
    <w:rsid w:val="00CF495B"/>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C07"/>
    <w:rsid w:val="00CF7CCF"/>
    <w:rsid w:val="00CF7D8D"/>
    <w:rsid w:val="00D0033A"/>
    <w:rsid w:val="00D00522"/>
    <w:rsid w:val="00D00B22"/>
    <w:rsid w:val="00D00B24"/>
    <w:rsid w:val="00D00DFE"/>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72"/>
    <w:rsid w:val="00D11873"/>
    <w:rsid w:val="00D11FAE"/>
    <w:rsid w:val="00D12371"/>
    <w:rsid w:val="00D12440"/>
    <w:rsid w:val="00D1249E"/>
    <w:rsid w:val="00D126E6"/>
    <w:rsid w:val="00D126F8"/>
    <w:rsid w:val="00D1271E"/>
    <w:rsid w:val="00D128F5"/>
    <w:rsid w:val="00D12B75"/>
    <w:rsid w:val="00D1303E"/>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AC0"/>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DC"/>
    <w:rsid w:val="00DB2CF9"/>
    <w:rsid w:val="00DB2F94"/>
    <w:rsid w:val="00DB2FDC"/>
    <w:rsid w:val="00DB35C7"/>
    <w:rsid w:val="00DB3719"/>
    <w:rsid w:val="00DB39DE"/>
    <w:rsid w:val="00DB3A23"/>
    <w:rsid w:val="00DB3D0B"/>
    <w:rsid w:val="00DB3D52"/>
    <w:rsid w:val="00DB42C3"/>
    <w:rsid w:val="00DB4322"/>
    <w:rsid w:val="00DB452C"/>
    <w:rsid w:val="00DB4F9D"/>
    <w:rsid w:val="00DB5799"/>
    <w:rsid w:val="00DB58AE"/>
    <w:rsid w:val="00DB5A21"/>
    <w:rsid w:val="00DB5DEB"/>
    <w:rsid w:val="00DB5EE5"/>
    <w:rsid w:val="00DB6681"/>
    <w:rsid w:val="00DB6CC7"/>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965"/>
    <w:rsid w:val="00DC3DE4"/>
    <w:rsid w:val="00DC4D82"/>
    <w:rsid w:val="00DC4ED3"/>
    <w:rsid w:val="00DC5015"/>
    <w:rsid w:val="00DC522F"/>
    <w:rsid w:val="00DC5745"/>
    <w:rsid w:val="00DC588E"/>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EB6"/>
    <w:rsid w:val="00DF1FD6"/>
    <w:rsid w:val="00DF249F"/>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28E6"/>
    <w:rsid w:val="00E02C20"/>
    <w:rsid w:val="00E0324B"/>
    <w:rsid w:val="00E0345F"/>
    <w:rsid w:val="00E037D0"/>
    <w:rsid w:val="00E03BEA"/>
    <w:rsid w:val="00E0401E"/>
    <w:rsid w:val="00E046C1"/>
    <w:rsid w:val="00E049EC"/>
    <w:rsid w:val="00E0509A"/>
    <w:rsid w:val="00E05A43"/>
    <w:rsid w:val="00E05EC6"/>
    <w:rsid w:val="00E05FC4"/>
    <w:rsid w:val="00E05FC9"/>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14FB"/>
    <w:rsid w:val="00E215D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D5F"/>
    <w:rsid w:val="00E47D96"/>
    <w:rsid w:val="00E47F73"/>
    <w:rsid w:val="00E50359"/>
    <w:rsid w:val="00E504BC"/>
    <w:rsid w:val="00E508D6"/>
    <w:rsid w:val="00E515A3"/>
    <w:rsid w:val="00E51E23"/>
    <w:rsid w:val="00E5230B"/>
    <w:rsid w:val="00E523F3"/>
    <w:rsid w:val="00E52F76"/>
    <w:rsid w:val="00E5315C"/>
    <w:rsid w:val="00E53409"/>
    <w:rsid w:val="00E534EA"/>
    <w:rsid w:val="00E537C1"/>
    <w:rsid w:val="00E538E0"/>
    <w:rsid w:val="00E5400F"/>
    <w:rsid w:val="00E547DF"/>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5599"/>
    <w:rsid w:val="00E86057"/>
    <w:rsid w:val="00E861F7"/>
    <w:rsid w:val="00E864CA"/>
    <w:rsid w:val="00E86647"/>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D3"/>
    <w:rsid w:val="00EA0BFA"/>
    <w:rsid w:val="00EA0E05"/>
    <w:rsid w:val="00EA0E10"/>
    <w:rsid w:val="00EA0F03"/>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5008"/>
    <w:rsid w:val="00EB534C"/>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61C2"/>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E0D"/>
    <w:rsid w:val="00F14FB4"/>
    <w:rsid w:val="00F165FF"/>
    <w:rsid w:val="00F166C4"/>
    <w:rsid w:val="00F16BB1"/>
    <w:rsid w:val="00F17760"/>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36F"/>
    <w:rsid w:val="00F32374"/>
    <w:rsid w:val="00F32DD1"/>
    <w:rsid w:val="00F32F0E"/>
    <w:rsid w:val="00F32F3E"/>
    <w:rsid w:val="00F3333E"/>
    <w:rsid w:val="00F3383E"/>
    <w:rsid w:val="00F34286"/>
    <w:rsid w:val="00F342E5"/>
    <w:rsid w:val="00F346BC"/>
    <w:rsid w:val="00F34774"/>
    <w:rsid w:val="00F3521B"/>
    <w:rsid w:val="00F35561"/>
    <w:rsid w:val="00F35865"/>
    <w:rsid w:val="00F35E92"/>
    <w:rsid w:val="00F360BA"/>
    <w:rsid w:val="00F366CE"/>
    <w:rsid w:val="00F369FF"/>
    <w:rsid w:val="00F36BD9"/>
    <w:rsid w:val="00F377A2"/>
    <w:rsid w:val="00F37922"/>
    <w:rsid w:val="00F37AEF"/>
    <w:rsid w:val="00F37DC6"/>
    <w:rsid w:val="00F4021C"/>
    <w:rsid w:val="00F40C16"/>
    <w:rsid w:val="00F41D1F"/>
    <w:rsid w:val="00F42910"/>
    <w:rsid w:val="00F42C2B"/>
    <w:rsid w:val="00F431BA"/>
    <w:rsid w:val="00F43EDB"/>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1B"/>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00"/>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F06"/>
    <w:rsid w:val="00FA0509"/>
    <w:rsid w:val="00FA0E7C"/>
    <w:rsid w:val="00FA17D6"/>
    <w:rsid w:val="00FA1B1E"/>
    <w:rsid w:val="00FA1CBF"/>
    <w:rsid w:val="00FA1D8F"/>
    <w:rsid w:val="00FA1EB0"/>
    <w:rsid w:val="00FA2002"/>
    <w:rsid w:val="00FA2526"/>
    <w:rsid w:val="00FA2663"/>
    <w:rsid w:val="00FA2AB0"/>
    <w:rsid w:val="00FA311A"/>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443"/>
    <w:rsid w:val="00FB0540"/>
    <w:rsid w:val="00FB05C7"/>
    <w:rsid w:val="00FB1309"/>
    <w:rsid w:val="00FB15D5"/>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62E4"/>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AE"/>
    <w:rsid w:val="00FD7B69"/>
    <w:rsid w:val="00FD7D6B"/>
    <w:rsid w:val="00FE00DC"/>
    <w:rsid w:val="00FE0477"/>
    <w:rsid w:val="00FE0657"/>
    <w:rsid w:val="00FE15F5"/>
    <w:rsid w:val="00FE1728"/>
    <w:rsid w:val="00FE21A2"/>
    <w:rsid w:val="00FE21F5"/>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43"/>
    <w:rsid w:val="00FF355C"/>
    <w:rsid w:val="00FF37C5"/>
    <w:rsid w:val="00FF3A12"/>
    <w:rsid w:val="00FF3CFC"/>
    <w:rsid w:val="00FF43AF"/>
    <w:rsid w:val="00FF43CE"/>
    <w:rsid w:val="00FF4683"/>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FooterChar">
    <w:name w:val="Footer Char"/>
    <w:basedOn w:val="DefaultParagraphFont"/>
    <w:link w:val="Footer"/>
    <w:rsid w:val="006F7F6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HR33RHYHUWRF-4-2123</_dlc_DocId>
    <_dlc_DocIdUrl xmlns="c06861ca-3f08-4d07-bff7-bb15bac121f4">
      <Url>https://projects.qualcomm.com/sites/pentari/_layouts/15/DocIdRedir.aspx?ID=HR33RHYHUWRF-4-2123</Url>
      <Description>HR33RHYHUWRF-4-2123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57A9D24-3C2D-4AE7-92BC-0E9C4F18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C10650-BDA4-4BC2-BAED-E106BEF75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5226</TotalTime>
  <Pages>6</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1087</cp:revision>
  <cp:lastPrinted>2014-11-07T05:38:00Z</cp:lastPrinted>
  <dcterms:created xsi:type="dcterms:W3CDTF">2016-04-02T04:49:00Z</dcterms:created>
  <dcterms:modified xsi:type="dcterms:W3CDTF">2017-05-06T21:38:00Z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46d23e84-0954-41b0-a5ae-68965546b18a</vt:lpwstr>
  </property>
  <property fmtid="{D5CDD505-2E9C-101B-9397-08002B2CF9AE}" pid="10" name="ContentTypeId">
    <vt:lpwstr>0x010100BC29BFD66497B943AA3B102F0C7B1355</vt:lpwstr>
  </property>
</Properties>
</file>